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854E" w14:textId="77777777" w:rsidR="00F35817" w:rsidRPr="00011CBC" w:rsidRDefault="00F35817" w:rsidP="005B0943">
      <w:pPr>
        <w:jc w:val="center"/>
        <w:rPr>
          <w:sz w:val="28"/>
          <w:szCs w:val="28"/>
        </w:rPr>
      </w:pPr>
      <w:r w:rsidRPr="00011CBC">
        <w:rPr>
          <w:sz w:val="28"/>
          <w:szCs w:val="28"/>
        </w:rPr>
        <w:t xml:space="preserve">Investment </w:t>
      </w:r>
      <w:r w:rsidR="004644E6">
        <w:rPr>
          <w:sz w:val="28"/>
          <w:szCs w:val="28"/>
        </w:rPr>
        <w:t xml:space="preserve">and Spending </w:t>
      </w:r>
      <w:r w:rsidRPr="00011CBC">
        <w:rPr>
          <w:sz w:val="28"/>
          <w:szCs w:val="28"/>
        </w:rPr>
        <w:t>Polic</w:t>
      </w:r>
      <w:r w:rsidR="00D91605">
        <w:rPr>
          <w:sz w:val="28"/>
          <w:szCs w:val="28"/>
        </w:rPr>
        <w:t>y Statement</w:t>
      </w:r>
      <w:r w:rsidR="005B0943">
        <w:rPr>
          <w:sz w:val="28"/>
          <w:szCs w:val="28"/>
        </w:rPr>
        <w:t xml:space="preserve"> </w:t>
      </w:r>
      <w:r w:rsidRPr="00011CBC">
        <w:rPr>
          <w:sz w:val="28"/>
          <w:szCs w:val="28"/>
        </w:rPr>
        <w:t>for</w:t>
      </w:r>
    </w:p>
    <w:p w14:paraId="51BDC359" w14:textId="30460A2D" w:rsidR="00F35817" w:rsidRPr="00011CBC" w:rsidRDefault="00E56616" w:rsidP="00BC32EB">
      <w:pPr>
        <w:jc w:val="center"/>
        <w:rPr>
          <w:sz w:val="28"/>
          <w:szCs w:val="28"/>
        </w:rPr>
      </w:pPr>
      <w:r>
        <w:rPr>
          <w:sz w:val="28"/>
          <w:szCs w:val="28"/>
        </w:rPr>
        <w:t>Habitat for Humanity of Catawba Valley</w:t>
      </w:r>
    </w:p>
    <w:p w14:paraId="2A7CD278" w14:textId="119AC3E1" w:rsidR="00262EC2" w:rsidRPr="005334A3" w:rsidRDefault="001147A6" w:rsidP="005334A3">
      <w:pPr>
        <w:jc w:val="center"/>
        <w:rPr>
          <w:b/>
        </w:rPr>
      </w:pPr>
      <w:r>
        <w:rPr>
          <w:sz w:val="28"/>
          <w:szCs w:val="28"/>
        </w:rPr>
        <w:t>[</w:t>
      </w:r>
      <w:r w:rsidR="000B1743">
        <w:rPr>
          <w:sz w:val="28"/>
          <w:szCs w:val="28"/>
        </w:rPr>
        <w:t xml:space="preserve">DRAFT </w:t>
      </w:r>
      <w:r w:rsidR="003C47DC">
        <w:rPr>
          <w:sz w:val="28"/>
          <w:szCs w:val="28"/>
        </w:rPr>
        <w:t>2</w:t>
      </w:r>
      <w:r w:rsidR="00882D77">
        <w:rPr>
          <w:sz w:val="28"/>
          <w:szCs w:val="28"/>
        </w:rPr>
        <w:t xml:space="preserve"> </w:t>
      </w:r>
      <w:r w:rsidR="000B1743">
        <w:rPr>
          <w:sz w:val="28"/>
          <w:szCs w:val="28"/>
        </w:rPr>
        <w:t>– 9/</w:t>
      </w:r>
      <w:r w:rsidR="006B360D">
        <w:rPr>
          <w:sz w:val="28"/>
          <w:szCs w:val="28"/>
        </w:rPr>
        <w:t>13</w:t>
      </w:r>
      <w:r w:rsidR="000B1743">
        <w:rPr>
          <w:sz w:val="28"/>
          <w:szCs w:val="28"/>
        </w:rPr>
        <w:t>/22</w:t>
      </w:r>
      <w:r>
        <w:rPr>
          <w:sz w:val="28"/>
          <w:szCs w:val="28"/>
        </w:rPr>
        <w:t>]</w:t>
      </w:r>
    </w:p>
    <w:p w14:paraId="11A3135F" w14:textId="5DF3FA37" w:rsidR="00C232E1" w:rsidRDefault="00C232E1" w:rsidP="00C232E1">
      <w:pPr>
        <w:pStyle w:val="NoSpacing"/>
        <w:jc w:val="center"/>
        <w:rPr>
          <w:b/>
        </w:rPr>
      </w:pPr>
      <w:r w:rsidRPr="00C232E1">
        <w:rPr>
          <w:b/>
        </w:rPr>
        <w:t>Article I</w:t>
      </w:r>
      <w:r w:rsidR="000B1743">
        <w:rPr>
          <w:b/>
        </w:rPr>
        <w:t xml:space="preserve"> – General Provisions</w:t>
      </w:r>
    </w:p>
    <w:p w14:paraId="382AEBD1" w14:textId="77777777" w:rsidR="00C232E1" w:rsidRPr="00C232E1" w:rsidRDefault="00C232E1" w:rsidP="00C232E1">
      <w:pPr>
        <w:pStyle w:val="NoSpacing"/>
        <w:jc w:val="center"/>
        <w:rPr>
          <w:b/>
        </w:rPr>
      </w:pPr>
      <w:r>
        <w:rPr>
          <w:b/>
        </w:rPr>
        <w:t>Section A</w:t>
      </w:r>
    </w:p>
    <w:p w14:paraId="61A595A1" w14:textId="77777777" w:rsidR="00364017" w:rsidRPr="00D67388" w:rsidRDefault="00364017" w:rsidP="00F35817">
      <w:pPr>
        <w:jc w:val="center"/>
        <w:rPr>
          <w:b/>
        </w:rPr>
      </w:pPr>
      <w:r w:rsidRPr="00D67388">
        <w:rPr>
          <w:b/>
        </w:rPr>
        <w:t>Purpose</w:t>
      </w:r>
    </w:p>
    <w:p w14:paraId="286A2020" w14:textId="497F57CD" w:rsidR="00364017" w:rsidRDefault="00BA766F" w:rsidP="00364017">
      <w:r>
        <w:t xml:space="preserve">In addition to its annual operating funds, Habitat </w:t>
      </w:r>
      <w:r w:rsidR="00A96DC3">
        <w:t xml:space="preserve">for Humanity of Catawba Valley (“Habitat”) </w:t>
      </w:r>
      <w:r>
        <w:t xml:space="preserve">maintains investment assets that are intended to be used </w:t>
      </w:r>
      <w:r w:rsidR="003B225E">
        <w:t xml:space="preserve">to provide </w:t>
      </w:r>
      <w:r>
        <w:t xml:space="preserve">for the long-term financial health of the organization, and not utilized for </w:t>
      </w:r>
      <w:r w:rsidR="003B225E">
        <w:t>Habitat’s</w:t>
      </w:r>
      <w:r>
        <w:t xml:space="preserve"> day-to-day operations except as provided in this ISP</w:t>
      </w:r>
      <w:r w:rsidR="003B225E">
        <w:t>S</w:t>
      </w:r>
      <w:r>
        <w:t xml:space="preserve"> (“Endowment Fund”).  </w:t>
      </w:r>
      <w:r w:rsidR="00A96DC3">
        <w:t>The purpose of this Investment and Spending Policy Statement (</w:t>
      </w:r>
      <w:r w:rsidR="00785790">
        <w:t>“</w:t>
      </w:r>
      <w:r w:rsidR="00A96DC3">
        <w:t>ISPS</w:t>
      </w:r>
      <w:r w:rsidR="00785790">
        <w:t>”</w:t>
      </w:r>
      <w:r w:rsidR="00A96DC3">
        <w:t>) is to assist Habitat</w:t>
      </w:r>
      <w:r w:rsidR="003720F7">
        <w:t>'s</w:t>
      </w:r>
      <w:r w:rsidR="00A96DC3">
        <w:t xml:space="preserve"> Finance Committee (the “Finance Committee”) in effectively monitoring, evaluating, and making recommendations to </w:t>
      </w:r>
      <w:r w:rsidR="006D3534">
        <w:t xml:space="preserve">Habitat’s </w:t>
      </w:r>
      <w:r w:rsidR="00A96DC3">
        <w:t xml:space="preserve">Board of Directors </w:t>
      </w:r>
      <w:r w:rsidR="006D3534">
        <w:t xml:space="preserve">(the “Board”) </w:t>
      </w:r>
      <w:r w:rsidR="00A96DC3">
        <w:t xml:space="preserve">regarding the </w:t>
      </w:r>
      <w:r w:rsidR="003720F7">
        <w:t>Endowment Fund</w:t>
      </w:r>
      <w:r w:rsidR="00A96DC3">
        <w:t>.</w:t>
      </w:r>
      <w:r>
        <w:t xml:space="preserve"> </w:t>
      </w:r>
      <w:r w:rsidR="00BC32EB">
        <w:t>This ISP</w:t>
      </w:r>
      <w:r w:rsidR="00664801">
        <w:t>S</w:t>
      </w:r>
      <w:r w:rsidR="00364017">
        <w:t xml:space="preserve"> shall be reviewed periodically and revised if </w:t>
      </w:r>
      <w:r w:rsidR="00E43EA3">
        <w:t>necessary,</w:t>
      </w:r>
      <w:r w:rsidR="00364017">
        <w:t xml:space="preserve"> so that it adequately reflects circumstance</w:t>
      </w:r>
      <w:r w:rsidR="00BC32EB">
        <w:t xml:space="preserve">s and changes related to </w:t>
      </w:r>
      <w:r w:rsidR="003F7963">
        <w:t>Habitat</w:t>
      </w:r>
      <w:r w:rsidR="00364017">
        <w:t xml:space="preserve">’s </w:t>
      </w:r>
      <w:r w:rsidR="003B225E">
        <w:t>Endowment Fund and other assets</w:t>
      </w:r>
      <w:r w:rsidR="00364017">
        <w:t>.</w:t>
      </w:r>
    </w:p>
    <w:p w14:paraId="0A5F2EEA" w14:textId="77777777" w:rsidR="00C232E1" w:rsidRDefault="00C232E1" w:rsidP="00C232E1">
      <w:pPr>
        <w:pStyle w:val="NoSpacing"/>
        <w:jc w:val="center"/>
        <w:rPr>
          <w:b/>
        </w:rPr>
      </w:pPr>
      <w:r>
        <w:rPr>
          <w:b/>
        </w:rPr>
        <w:t>Section B</w:t>
      </w:r>
    </w:p>
    <w:p w14:paraId="00977ED5" w14:textId="77777777" w:rsidR="00364017" w:rsidRDefault="00664801" w:rsidP="00C232E1">
      <w:pPr>
        <w:pStyle w:val="NoSpacing"/>
        <w:jc w:val="center"/>
        <w:rPr>
          <w:b/>
        </w:rPr>
      </w:pPr>
      <w:r w:rsidRPr="00C232E1">
        <w:rPr>
          <w:b/>
        </w:rPr>
        <w:t xml:space="preserve">Financial and </w:t>
      </w:r>
      <w:r w:rsidR="00364017" w:rsidRPr="00C232E1">
        <w:rPr>
          <w:b/>
        </w:rPr>
        <w:t>Investment Objectives</w:t>
      </w:r>
    </w:p>
    <w:p w14:paraId="4EE97138" w14:textId="77777777" w:rsidR="00C232E1" w:rsidRPr="00C232E1" w:rsidRDefault="00C232E1" w:rsidP="00C232E1">
      <w:pPr>
        <w:pStyle w:val="NoSpacing"/>
        <w:jc w:val="center"/>
        <w:rPr>
          <w:b/>
        </w:rPr>
      </w:pPr>
    </w:p>
    <w:p w14:paraId="6CA941E4" w14:textId="76DC4EE8" w:rsidR="00B80191" w:rsidRDefault="006E340F" w:rsidP="00C232E1">
      <w:pPr>
        <w:pStyle w:val="ListParagraph"/>
        <w:numPr>
          <w:ilvl w:val="0"/>
          <w:numId w:val="8"/>
        </w:numPr>
      </w:pPr>
      <w:r>
        <w:t xml:space="preserve">Habitat’s </w:t>
      </w:r>
      <w:r w:rsidR="00664801">
        <w:t xml:space="preserve">financial objective for the </w:t>
      </w:r>
      <w:r w:rsidR="00AB3EF9">
        <w:t xml:space="preserve">Endowment </w:t>
      </w:r>
      <w:r w:rsidR="00664801">
        <w:t>Fund is t</w:t>
      </w:r>
      <w:r w:rsidR="00364017">
        <w:t xml:space="preserve">o preserve </w:t>
      </w:r>
      <w:r w:rsidR="00664801">
        <w:t>and enhance its real (</w:t>
      </w:r>
      <w:r w:rsidR="00E43EA3">
        <w:t>i.e.,</w:t>
      </w:r>
      <w:r w:rsidR="00664801">
        <w:t xml:space="preserve"> inflation adjusted) purchasing power</w:t>
      </w:r>
      <w:r w:rsidR="00AB3EF9">
        <w:t>,</w:t>
      </w:r>
      <w:r w:rsidR="00664801">
        <w:t xml:space="preserve"> while providing a relatively stable and constant stream of earnings in line with program and operating needs</w:t>
      </w:r>
      <w:r w:rsidR="00364017">
        <w:t xml:space="preserve">. </w:t>
      </w:r>
    </w:p>
    <w:p w14:paraId="3451B73F" w14:textId="4EBDBB93" w:rsidR="00CD3429" w:rsidRDefault="00D74715" w:rsidP="00C232E1">
      <w:pPr>
        <w:pStyle w:val="ListParagraph"/>
        <w:numPr>
          <w:ilvl w:val="0"/>
          <w:numId w:val="8"/>
        </w:numPr>
      </w:pPr>
      <w:r>
        <w:t xml:space="preserve">Habitat’s </w:t>
      </w:r>
      <w:r w:rsidR="00664801">
        <w:t xml:space="preserve">primary investment objective for the </w:t>
      </w:r>
      <w:r w:rsidR="003B225E">
        <w:t xml:space="preserve">Endowment </w:t>
      </w:r>
      <w:r w:rsidR="00664801">
        <w:t>Fund is</w:t>
      </w:r>
      <w:r w:rsidR="00364017">
        <w:t xml:space="preserve"> generate an overall</w:t>
      </w:r>
      <w:r w:rsidR="00664801">
        <w:t xml:space="preserve"> real</w:t>
      </w:r>
      <w:r w:rsidR="00364017">
        <w:t xml:space="preserve"> return on the </w:t>
      </w:r>
      <w:r w:rsidR="0047420B">
        <w:t xml:space="preserve">invested </w:t>
      </w:r>
      <w:r w:rsidR="00364017">
        <w:t>assets that meets or exceeds the spending rate, administrative charges</w:t>
      </w:r>
      <w:r w:rsidR="007D59C4">
        <w:t>,</w:t>
      </w:r>
      <w:r w:rsidR="00364017">
        <w:t xml:space="preserve"> and the current rate of inflation. </w:t>
      </w:r>
      <w:r w:rsidR="00664801">
        <w:t xml:space="preserve"> A secondary investment objective is to earn long-term returns that equal or exceed the median of returns</w:t>
      </w:r>
      <w:r w:rsidR="007067D7">
        <w:t xml:space="preserve"> earned by comparable endowment funds</w:t>
      </w:r>
      <w:r w:rsidR="00AB3EF9">
        <w:t xml:space="preserve"> </w:t>
      </w:r>
      <w:r w:rsidR="00C52A2B">
        <w:t>(</w:t>
      </w:r>
      <w:r w:rsidR="00AB3EF9">
        <w:t>if known</w:t>
      </w:r>
      <w:r w:rsidR="00C52A2B">
        <w:t>)</w:t>
      </w:r>
      <w:r w:rsidR="00AB3EF9">
        <w:t xml:space="preserve"> or </w:t>
      </w:r>
      <w:r w:rsidR="00F50649">
        <w:t xml:space="preserve">earn </w:t>
      </w:r>
      <w:r w:rsidR="00AB3EF9">
        <w:t>at least 5% over the long term</w:t>
      </w:r>
      <w:r w:rsidR="00A2528C">
        <w:t>.  For purposes of this I</w:t>
      </w:r>
      <w:r w:rsidR="00F06D80">
        <w:t xml:space="preserve">SPS, long-term performance will be measured as performance over any given </w:t>
      </w:r>
      <w:r w:rsidR="00AB3EF9">
        <w:t>five-year period</w:t>
      </w:r>
      <w:r w:rsidR="007067D7">
        <w:t>.</w:t>
      </w:r>
    </w:p>
    <w:p w14:paraId="3DEFC99F" w14:textId="795938B2" w:rsidR="00364017" w:rsidRDefault="00C80308" w:rsidP="00C232E1">
      <w:pPr>
        <w:pStyle w:val="ListParagraph"/>
        <w:numPr>
          <w:ilvl w:val="0"/>
          <w:numId w:val="8"/>
        </w:numPr>
      </w:pPr>
      <w:r>
        <w:t>Habitat also seeks to</w:t>
      </w:r>
      <w:r w:rsidR="00364017">
        <w:t xml:space="preserve"> minimize risk given the expected and desired rate of return </w:t>
      </w:r>
      <w:r w:rsidR="005A5819">
        <w:t xml:space="preserve">established by </w:t>
      </w:r>
      <w:r w:rsidR="00364017">
        <w:t xml:space="preserve">the </w:t>
      </w:r>
      <w:r w:rsidR="005A7B6E">
        <w:t>F</w:t>
      </w:r>
      <w:r w:rsidR="00364017">
        <w:t xml:space="preserve">inance </w:t>
      </w:r>
      <w:r w:rsidR="005A7B6E">
        <w:t>C</w:t>
      </w:r>
      <w:r w:rsidR="00364017">
        <w:t>om</w:t>
      </w:r>
      <w:r w:rsidR="00B80191">
        <w:t xml:space="preserve">mittee and to control </w:t>
      </w:r>
      <w:r w:rsidR="00D91605">
        <w:t xml:space="preserve">the costs of managing </w:t>
      </w:r>
      <w:r w:rsidR="005A5819">
        <w:t xml:space="preserve">the </w:t>
      </w:r>
      <w:r w:rsidR="003B225E">
        <w:t>Endowment F</w:t>
      </w:r>
      <w:r w:rsidR="00B80191">
        <w:t>und.</w:t>
      </w:r>
    </w:p>
    <w:p w14:paraId="41EA968F" w14:textId="448855A0" w:rsidR="0047420B" w:rsidRDefault="00F447C5" w:rsidP="00C232E1">
      <w:pPr>
        <w:pStyle w:val="ListParagraph"/>
        <w:numPr>
          <w:ilvl w:val="0"/>
          <w:numId w:val="8"/>
        </w:numPr>
      </w:pPr>
      <w:r>
        <w:t>Finally,</w:t>
      </w:r>
      <w:r w:rsidR="0018030C">
        <w:t xml:space="preserve"> given the </w:t>
      </w:r>
      <w:r w:rsidR="0047420B">
        <w:t>capital</w:t>
      </w:r>
      <w:r w:rsidR="00F8789A">
        <w:t>-</w:t>
      </w:r>
      <w:r w:rsidR="0047420B">
        <w:t xml:space="preserve">intensive </w:t>
      </w:r>
      <w:r w:rsidR="0018030C">
        <w:t xml:space="preserve">nature of Habitat’s </w:t>
      </w:r>
      <w:r w:rsidR="0047420B">
        <w:t>operations</w:t>
      </w:r>
      <w:r w:rsidR="0018030C">
        <w:t xml:space="preserve">, Habitat </w:t>
      </w:r>
      <w:r w:rsidR="00597B84">
        <w:t xml:space="preserve">wishes to maintain the flexibility to </w:t>
      </w:r>
      <w:r w:rsidR="0047420B">
        <w:t>use a portion of the Endowment Fund to provide short-term liquidity in support of annual programs, including specifically the acquisition of land and the cost of construction</w:t>
      </w:r>
      <w:r w:rsidR="009916A2">
        <w:t>, where appropriate</w:t>
      </w:r>
      <w:r w:rsidR="0047420B">
        <w:t>.</w:t>
      </w:r>
    </w:p>
    <w:p w14:paraId="3316BB85" w14:textId="05992DF6" w:rsidR="00AA1B73" w:rsidRDefault="00AA1B73" w:rsidP="00AA1B73">
      <w:pPr>
        <w:pStyle w:val="ListParagraph"/>
      </w:pPr>
    </w:p>
    <w:p w14:paraId="6084DA08" w14:textId="00147213" w:rsidR="00780427" w:rsidRDefault="00780427" w:rsidP="00AA1B73">
      <w:pPr>
        <w:pStyle w:val="ListParagraph"/>
      </w:pPr>
    </w:p>
    <w:p w14:paraId="2C7436E2" w14:textId="77777777" w:rsidR="000B1743" w:rsidRDefault="000B1743" w:rsidP="00AA1B73">
      <w:pPr>
        <w:pStyle w:val="ListParagraph"/>
      </w:pPr>
    </w:p>
    <w:p w14:paraId="7D2E978A" w14:textId="77777777" w:rsidR="000B1743" w:rsidRDefault="000B1743" w:rsidP="00AA1B73">
      <w:pPr>
        <w:pStyle w:val="ListParagraph"/>
      </w:pPr>
    </w:p>
    <w:p w14:paraId="0A3BFEDB" w14:textId="77777777" w:rsidR="000B1743" w:rsidRDefault="000B1743" w:rsidP="00AA1B73">
      <w:pPr>
        <w:pStyle w:val="ListParagraph"/>
      </w:pPr>
    </w:p>
    <w:p w14:paraId="617DB586" w14:textId="77777777" w:rsidR="000B1743" w:rsidRDefault="000B1743" w:rsidP="00AA1B73">
      <w:pPr>
        <w:pStyle w:val="ListParagraph"/>
      </w:pPr>
    </w:p>
    <w:p w14:paraId="2B68FF72" w14:textId="6275B97C" w:rsidR="00780427" w:rsidRPr="005334A3" w:rsidRDefault="00524B86" w:rsidP="005334A3">
      <w:pPr>
        <w:pStyle w:val="ListParagraph"/>
        <w:jc w:val="center"/>
        <w:rPr>
          <w:b/>
          <w:bCs/>
        </w:rPr>
      </w:pPr>
      <w:r>
        <w:rPr>
          <w:b/>
          <w:bCs/>
        </w:rPr>
        <w:lastRenderedPageBreak/>
        <w:t>Section C</w:t>
      </w:r>
    </w:p>
    <w:p w14:paraId="0549FB57" w14:textId="4792810D" w:rsidR="00780427" w:rsidRPr="005334A3" w:rsidRDefault="00780427" w:rsidP="005334A3">
      <w:pPr>
        <w:pStyle w:val="ListParagraph"/>
        <w:jc w:val="center"/>
        <w:rPr>
          <w:b/>
          <w:bCs/>
        </w:rPr>
      </w:pPr>
      <w:r w:rsidRPr="005334A3">
        <w:rPr>
          <w:b/>
          <w:bCs/>
        </w:rPr>
        <w:t>General Use and Management of Endowment Fund Assets</w:t>
      </w:r>
    </w:p>
    <w:p w14:paraId="1DA6F157" w14:textId="77777777" w:rsidR="00780427" w:rsidRDefault="00780427" w:rsidP="00AA1B73">
      <w:pPr>
        <w:pStyle w:val="ListParagraph"/>
      </w:pPr>
    </w:p>
    <w:p w14:paraId="73D59079" w14:textId="625547AE" w:rsidR="00780427" w:rsidRDefault="00780427" w:rsidP="005334A3">
      <w:pPr>
        <w:pStyle w:val="ListParagraph"/>
        <w:numPr>
          <w:ilvl w:val="0"/>
          <w:numId w:val="19"/>
        </w:numPr>
      </w:pPr>
      <w:r>
        <w:t xml:space="preserve">Assets within the Endowment Fund will be </w:t>
      </w:r>
      <w:r w:rsidR="00F50B91">
        <w:t xml:space="preserve">allocated </w:t>
      </w:r>
      <w:r>
        <w:t xml:space="preserve">into the following </w:t>
      </w:r>
      <w:r w:rsidR="00080651">
        <w:t>two</w:t>
      </w:r>
      <w:r>
        <w:t xml:space="preserve"> categories:</w:t>
      </w:r>
    </w:p>
    <w:p w14:paraId="09E47F46" w14:textId="2A5DCE3B" w:rsidR="006D3691" w:rsidRDefault="006D3691" w:rsidP="00780427">
      <w:pPr>
        <w:pStyle w:val="ListParagraph"/>
        <w:numPr>
          <w:ilvl w:val="1"/>
          <w:numId w:val="19"/>
        </w:numPr>
      </w:pPr>
      <w:r>
        <w:t>“Short Term Assets” – Assets maintained in highly liquid investments or instruments that are available to assist Habitat with short-term liquidity needs in support of its annual programs, but which are intended to be repaid to the Endowment Fund within a given program year.</w:t>
      </w:r>
    </w:p>
    <w:p w14:paraId="6BBD719E" w14:textId="2D90ABB6" w:rsidR="006D3691" w:rsidRDefault="006D3691" w:rsidP="00780427">
      <w:pPr>
        <w:pStyle w:val="ListParagraph"/>
        <w:numPr>
          <w:ilvl w:val="1"/>
          <w:numId w:val="19"/>
        </w:numPr>
      </w:pPr>
      <w:r>
        <w:t xml:space="preserve">“Investment Assets” – Assets which are intended to be held for longer-term investment by Habitat, </w:t>
      </w:r>
      <w:r w:rsidR="00882D77">
        <w:t>to</w:t>
      </w:r>
      <w:r>
        <w:t xml:space="preserve"> generate Fund Income and Endowment Fund Growth. </w:t>
      </w:r>
    </w:p>
    <w:p w14:paraId="6323B33A" w14:textId="2D565A52" w:rsidR="006D3691" w:rsidRDefault="006D3691" w:rsidP="006D3691">
      <w:pPr>
        <w:pStyle w:val="ListParagraph"/>
        <w:numPr>
          <w:ilvl w:val="0"/>
          <w:numId w:val="19"/>
        </w:numPr>
      </w:pPr>
      <w:r>
        <w:t xml:space="preserve">The </w:t>
      </w:r>
      <w:r w:rsidR="000B1743">
        <w:t>Board</w:t>
      </w:r>
      <w:r>
        <w:t>, upon the recommendation of the Finance Committee, will set the target allocation of the Endowment Fund between Short Term Assets and Investment Assets</w:t>
      </w:r>
      <w:r w:rsidR="006849DD">
        <w:t xml:space="preserve"> on an annual basis</w:t>
      </w:r>
      <w:r>
        <w:t xml:space="preserve">. </w:t>
      </w:r>
      <w:r w:rsidR="00FD020E">
        <w:t xml:space="preserve">In the absence of action by the </w:t>
      </w:r>
      <w:r w:rsidR="000B1743">
        <w:t>Board</w:t>
      </w:r>
      <w:r w:rsidR="00A7008F">
        <w:t xml:space="preserve">, </w:t>
      </w:r>
      <w:r w:rsidR="00F33941">
        <w:t>Habitat’s Treasurer shall allocate $</w:t>
      </w:r>
      <w:r w:rsidR="00F33941" w:rsidRPr="005334A3">
        <w:rPr>
          <w:highlight w:val="yellow"/>
        </w:rPr>
        <w:t>[500,000]</w:t>
      </w:r>
      <w:r w:rsidR="00F33941">
        <w:t xml:space="preserve"> to Short Term Assets, and the balance of the Endowment Fund will </w:t>
      </w:r>
      <w:r w:rsidR="004A381D">
        <w:t xml:space="preserve">be </w:t>
      </w:r>
      <w:r w:rsidR="00FE7B18">
        <w:t>classified as</w:t>
      </w:r>
      <w:r w:rsidR="00F33941">
        <w:t xml:space="preserve"> Investment Assets</w:t>
      </w:r>
      <w:r w:rsidR="00FE7B18">
        <w:t>.</w:t>
      </w:r>
    </w:p>
    <w:p w14:paraId="6D789BF9" w14:textId="77777777" w:rsidR="00780427" w:rsidRDefault="00780427" w:rsidP="005334A3"/>
    <w:p w14:paraId="0A24A03B" w14:textId="17085672" w:rsidR="00C232E1" w:rsidRDefault="00C232E1" w:rsidP="00AA1B73">
      <w:pPr>
        <w:pStyle w:val="ListParagraph"/>
        <w:jc w:val="center"/>
        <w:rPr>
          <w:b/>
        </w:rPr>
      </w:pPr>
      <w:r>
        <w:rPr>
          <w:b/>
        </w:rPr>
        <w:t>Article I</w:t>
      </w:r>
      <w:r w:rsidR="008A553A">
        <w:rPr>
          <w:b/>
        </w:rPr>
        <w:t>I</w:t>
      </w:r>
      <w:r w:rsidR="000B1743">
        <w:rPr>
          <w:b/>
        </w:rPr>
        <w:t xml:space="preserve"> – Use of Endowment Fund Assets and Income</w:t>
      </w:r>
    </w:p>
    <w:p w14:paraId="047972ED" w14:textId="0F15DA34" w:rsidR="00FD5106" w:rsidRDefault="00C232E1" w:rsidP="00AA1B73">
      <w:pPr>
        <w:pStyle w:val="ListParagraph"/>
        <w:jc w:val="center"/>
        <w:rPr>
          <w:b/>
        </w:rPr>
      </w:pPr>
      <w:r>
        <w:rPr>
          <w:b/>
        </w:rPr>
        <w:t>Section A</w:t>
      </w:r>
    </w:p>
    <w:p w14:paraId="611435BF" w14:textId="28AF4C97" w:rsidR="00936A2F" w:rsidRDefault="00AA1B73" w:rsidP="00FD5106">
      <w:pPr>
        <w:pStyle w:val="ListParagraph"/>
        <w:jc w:val="center"/>
        <w:rPr>
          <w:b/>
        </w:rPr>
      </w:pPr>
      <w:r w:rsidRPr="00D67388">
        <w:rPr>
          <w:b/>
        </w:rPr>
        <w:t>Spending Policy</w:t>
      </w:r>
    </w:p>
    <w:p w14:paraId="32BCFCDE" w14:textId="77777777" w:rsidR="00FD5106" w:rsidRPr="005334A3" w:rsidRDefault="00FD5106" w:rsidP="00FD5106">
      <w:pPr>
        <w:pStyle w:val="ListParagraph"/>
        <w:jc w:val="center"/>
        <w:rPr>
          <w:b/>
        </w:rPr>
      </w:pPr>
    </w:p>
    <w:p w14:paraId="1CBC3156" w14:textId="449A56E9" w:rsidR="00AA1B73" w:rsidRDefault="00AB3EF9" w:rsidP="00C232E1">
      <w:pPr>
        <w:pStyle w:val="ListParagraph"/>
        <w:numPr>
          <w:ilvl w:val="0"/>
          <w:numId w:val="9"/>
        </w:numPr>
      </w:pPr>
      <w:r>
        <w:t xml:space="preserve">It is the responsibility of the </w:t>
      </w:r>
      <w:r w:rsidR="000B1743">
        <w:t>Board</w:t>
      </w:r>
      <w:r>
        <w:t xml:space="preserve"> to annually review the </w:t>
      </w:r>
      <w:r w:rsidR="000F1C35">
        <w:t>financial performance of Invest</w:t>
      </w:r>
      <w:r w:rsidR="003D039E">
        <w:t>ment</w:t>
      </w:r>
      <w:r w:rsidR="000F1C35">
        <w:t xml:space="preserve"> Assets </w:t>
      </w:r>
      <w:r>
        <w:t>and establish effective spending rates</w:t>
      </w:r>
      <w:r w:rsidR="00666D55">
        <w:t xml:space="preserve"> for the upcoming fiscal year</w:t>
      </w:r>
      <w:r>
        <w:t xml:space="preserve">.  </w:t>
      </w:r>
      <w:r w:rsidR="00694749">
        <w:t xml:space="preserve">The Finance Committee will provide the Board with such information as it may require </w:t>
      </w:r>
      <w:r w:rsidR="00882D77">
        <w:t>to</w:t>
      </w:r>
      <w:r w:rsidR="00694749">
        <w:t xml:space="preserve"> set the spending rate for the coming fiscal year, including a recommendation as to the spending rate.</w:t>
      </w:r>
      <w:r w:rsidR="0097134F">
        <w:t xml:space="preserve">  </w:t>
      </w:r>
      <w:r w:rsidR="00AA1B73">
        <w:t xml:space="preserve">The spending </w:t>
      </w:r>
      <w:r w:rsidR="003D039E">
        <w:t xml:space="preserve">rates </w:t>
      </w:r>
      <w:r w:rsidR="00AA1B73">
        <w:t>will relate to the long</w:t>
      </w:r>
      <w:r w:rsidR="00BC29BB">
        <w:t>-</w:t>
      </w:r>
      <w:r w:rsidR="00AA1B73">
        <w:t>term in</w:t>
      </w:r>
      <w:r>
        <w:t>vestment returns of the Endowment Fund</w:t>
      </w:r>
      <w:r w:rsidR="00AA1B73">
        <w:t xml:space="preserve"> while taking into consideration the market value of the overall funds.  </w:t>
      </w:r>
      <w:r w:rsidR="0097134F">
        <w:t xml:space="preserve">Generally, </w:t>
      </w:r>
      <w:r w:rsidR="00AA1B73">
        <w:t xml:space="preserve">the amount taken from the </w:t>
      </w:r>
      <w:r w:rsidR="003D039E">
        <w:t>Endowment Fund</w:t>
      </w:r>
      <w:r w:rsidR="00250F42">
        <w:t xml:space="preserve"> for spending on </w:t>
      </w:r>
      <w:r w:rsidR="000425F5">
        <w:t>Habitat’s regular</w:t>
      </w:r>
      <w:r w:rsidR="007E1226">
        <w:t xml:space="preserve"> programs</w:t>
      </w:r>
      <w:r w:rsidR="00AA1B73">
        <w:t xml:space="preserve"> will not exceed</w:t>
      </w:r>
      <w:r w:rsidR="002C7FFE">
        <w:t xml:space="preserve"> </w:t>
      </w:r>
      <w:r w:rsidR="00AA1B73">
        <w:t xml:space="preserve">the </w:t>
      </w:r>
      <w:r w:rsidR="00CF1129">
        <w:t xml:space="preserve">greater of (1) the </w:t>
      </w:r>
      <w:r w:rsidR="00AA1B73">
        <w:t>o</w:t>
      </w:r>
      <w:r w:rsidR="00C11D73">
        <w:t>vera</w:t>
      </w:r>
      <w:r w:rsidR="00F50649">
        <w:t>ll</w:t>
      </w:r>
      <w:r>
        <w:t xml:space="preserve"> </w:t>
      </w:r>
      <w:r w:rsidR="004A0030">
        <w:t>five</w:t>
      </w:r>
      <w:r>
        <w:t xml:space="preserve">-year </w:t>
      </w:r>
      <w:r w:rsidR="004A0030">
        <w:t>rolling</w:t>
      </w:r>
      <w:r w:rsidR="00F50649">
        <w:t xml:space="preserve"> average total return</w:t>
      </w:r>
      <w:r w:rsidR="003D039E">
        <w:t xml:space="preserve"> on </w:t>
      </w:r>
      <w:r w:rsidR="004A0030">
        <w:t>the Endowment Fund</w:t>
      </w:r>
      <w:r w:rsidR="00CF1129">
        <w:t xml:space="preserve">, and (2) 5% of the </w:t>
      </w:r>
      <w:r w:rsidR="00A203BA">
        <w:t>market value of the Investment Assets at the end of the immediately pr</w:t>
      </w:r>
      <w:r w:rsidR="00BF06BD">
        <w:t>e</w:t>
      </w:r>
      <w:r w:rsidR="00A203BA">
        <w:t>ceding calendar year</w:t>
      </w:r>
      <w:r w:rsidR="00F50649">
        <w:t xml:space="preserve">.  The </w:t>
      </w:r>
      <w:r w:rsidR="00A3431A">
        <w:t>B</w:t>
      </w:r>
      <w:r w:rsidR="00F50649">
        <w:t>oard may make an e</w:t>
      </w:r>
      <w:r w:rsidR="00C11D73">
        <w:t>xcept</w:t>
      </w:r>
      <w:r w:rsidR="00F50649">
        <w:t>ion</w:t>
      </w:r>
      <w:r w:rsidR="00A3431A">
        <w:t xml:space="preserve"> </w:t>
      </w:r>
      <w:r w:rsidR="004C5904">
        <w:t>upon</w:t>
      </w:r>
      <w:r w:rsidR="00A3431A">
        <w:t xml:space="preserve"> the recommendation of </w:t>
      </w:r>
      <w:r w:rsidR="00C11D73">
        <w:t xml:space="preserve">the </w:t>
      </w:r>
      <w:r w:rsidR="00BC29BB">
        <w:t>F</w:t>
      </w:r>
      <w:r w:rsidR="00C11D73">
        <w:t xml:space="preserve">inance </w:t>
      </w:r>
      <w:r w:rsidR="00BC29BB">
        <w:t>C</w:t>
      </w:r>
      <w:r w:rsidR="00C11D73">
        <w:t xml:space="preserve">ommittee and </w:t>
      </w:r>
      <w:r w:rsidR="004C5904">
        <w:t xml:space="preserve">approval </w:t>
      </w:r>
      <w:r w:rsidR="00CE32A3">
        <w:t>by two</w:t>
      </w:r>
      <w:r w:rsidR="00BF06BD">
        <w:t>-</w:t>
      </w:r>
      <w:r w:rsidR="00CE32A3">
        <w:t xml:space="preserve">thirds majority vote of </w:t>
      </w:r>
      <w:r w:rsidR="00C11D73">
        <w:t>the Boar</w:t>
      </w:r>
      <w:r w:rsidR="004C5904">
        <w:t>d</w:t>
      </w:r>
      <w:r w:rsidR="00C11D73">
        <w:t xml:space="preserve">. </w:t>
      </w:r>
      <w:r w:rsidR="0075347A">
        <w:t xml:space="preserve"> </w:t>
      </w:r>
    </w:p>
    <w:p w14:paraId="7ABD7F70" w14:textId="3D3CB3AC" w:rsidR="00CE32A3" w:rsidRDefault="0056570E" w:rsidP="00C232E1">
      <w:pPr>
        <w:pStyle w:val="ListParagraph"/>
        <w:numPr>
          <w:ilvl w:val="0"/>
          <w:numId w:val="9"/>
        </w:numPr>
      </w:pPr>
      <w:r>
        <w:t xml:space="preserve">In setting the </w:t>
      </w:r>
      <w:r w:rsidR="00A706EA">
        <w:t>spending rates, t</w:t>
      </w:r>
      <w:r w:rsidR="00CE32A3">
        <w:t xml:space="preserve">he </w:t>
      </w:r>
      <w:r w:rsidR="00A706EA">
        <w:t xml:space="preserve">Board will conform to the standards of </w:t>
      </w:r>
      <w:r w:rsidR="00CE32A3">
        <w:t>the Uniform Prudent Management of Institutional Funds Act</w:t>
      </w:r>
      <w:r w:rsidR="002A0F78">
        <w:t xml:space="preserve"> as adopted by the State of North Carolina</w:t>
      </w:r>
      <w:r w:rsidR="00EE38A3">
        <w:t xml:space="preserve"> and other applicable law</w:t>
      </w:r>
      <w:r w:rsidR="00CE32A3">
        <w:t xml:space="preserve">.  </w:t>
      </w:r>
      <w:r w:rsidR="00A404E2">
        <w:t>For purposes of this ISPS, total return i</w:t>
      </w:r>
      <w:r w:rsidR="00267242">
        <w:t>ncludes</w:t>
      </w:r>
      <w:r w:rsidR="00CE32A3">
        <w:t xml:space="preserve"> dividends, interest, </w:t>
      </w:r>
      <w:r w:rsidR="005A480C">
        <w:t xml:space="preserve">and </w:t>
      </w:r>
      <w:r w:rsidR="00CE32A3">
        <w:t>realized and unrealized capital gains</w:t>
      </w:r>
      <w:r w:rsidR="005A480C">
        <w:t>, net of realized and unrealized</w:t>
      </w:r>
      <w:r w:rsidR="005A480C" w:rsidRPr="005A480C">
        <w:t xml:space="preserve"> </w:t>
      </w:r>
      <w:r w:rsidR="00CE32A3" w:rsidRPr="005334A3">
        <w:t>losses</w:t>
      </w:r>
      <w:r w:rsidR="00CE32A3">
        <w:t>.</w:t>
      </w:r>
    </w:p>
    <w:p w14:paraId="35D3A607" w14:textId="77777777" w:rsidR="000B1743" w:rsidRDefault="000B1743" w:rsidP="003B393A"/>
    <w:p w14:paraId="08817112" w14:textId="77777777" w:rsidR="000B1743" w:rsidRDefault="000B1743" w:rsidP="003B393A"/>
    <w:p w14:paraId="6733BBE3" w14:textId="77777777" w:rsidR="00C232E1" w:rsidRDefault="00C232E1" w:rsidP="003B393A"/>
    <w:p w14:paraId="46BBD938" w14:textId="77777777" w:rsidR="00C232E1" w:rsidRDefault="00C232E1" w:rsidP="00C232E1">
      <w:pPr>
        <w:pStyle w:val="NoSpacing"/>
        <w:jc w:val="center"/>
        <w:rPr>
          <w:b/>
        </w:rPr>
      </w:pPr>
      <w:r w:rsidRPr="00C232E1">
        <w:rPr>
          <w:b/>
        </w:rPr>
        <w:lastRenderedPageBreak/>
        <w:t>Section B</w:t>
      </w:r>
    </w:p>
    <w:p w14:paraId="7F8CEE90" w14:textId="62BD1A52" w:rsidR="000B1743" w:rsidRPr="00C232E1" w:rsidRDefault="000B1743" w:rsidP="00C232E1">
      <w:pPr>
        <w:pStyle w:val="NoSpacing"/>
        <w:jc w:val="center"/>
        <w:rPr>
          <w:b/>
        </w:rPr>
      </w:pPr>
      <w:r>
        <w:rPr>
          <w:b/>
        </w:rPr>
        <w:t>Use of Available Funds</w:t>
      </w:r>
    </w:p>
    <w:p w14:paraId="10AE2E7B" w14:textId="77777777" w:rsidR="00E43EA3" w:rsidRDefault="00E43EA3" w:rsidP="003B393A"/>
    <w:p w14:paraId="2F890672" w14:textId="5DFC1CBC" w:rsidR="00CE32A3" w:rsidRDefault="00CE32A3" w:rsidP="003B393A">
      <w:r>
        <w:t>Funds availab</w:t>
      </w:r>
      <w:r w:rsidR="001E7AFE">
        <w:t>le</w:t>
      </w:r>
      <w:r w:rsidR="002D6F41">
        <w:t xml:space="preserve"> based on the spending </w:t>
      </w:r>
      <w:r w:rsidR="001C0E17">
        <w:t>rates established by the Board</w:t>
      </w:r>
      <w:r>
        <w:t xml:space="preserve"> will be applied to the following uses, not necessarily in priority order</w:t>
      </w:r>
      <w:r w:rsidR="00852924">
        <w:t>:</w:t>
      </w:r>
    </w:p>
    <w:p w14:paraId="36C919BB" w14:textId="77777777" w:rsidR="00852924" w:rsidRDefault="00852924" w:rsidP="00852924">
      <w:pPr>
        <w:pStyle w:val="ListParagraph"/>
        <w:numPr>
          <w:ilvl w:val="0"/>
          <w:numId w:val="7"/>
        </w:numPr>
      </w:pPr>
      <w:r>
        <w:t>Operating expenses</w:t>
      </w:r>
    </w:p>
    <w:p w14:paraId="5BECFE5D" w14:textId="77777777" w:rsidR="00852924" w:rsidRDefault="00852924" w:rsidP="00852924">
      <w:pPr>
        <w:pStyle w:val="ListParagraph"/>
        <w:numPr>
          <w:ilvl w:val="0"/>
          <w:numId w:val="7"/>
        </w:numPr>
      </w:pPr>
      <w:r>
        <w:t>Capital and property expenditures</w:t>
      </w:r>
    </w:p>
    <w:p w14:paraId="2DE7110D" w14:textId="77777777" w:rsidR="00852924" w:rsidRDefault="00852924" w:rsidP="00852924">
      <w:pPr>
        <w:pStyle w:val="ListParagraph"/>
        <w:numPr>
          <w:ilvl w:val="0"/>
          <w:numId w:val="7"/>
        </w:numPr>
      </w:pPr>
      <w:r>
        <w:t>Debt retirement</w:t>
      </w:r>
    </w:p>
    <w:p w14:paraId="1485DC58" w14:textId="2BE7349C" w:rsidR="00852924" w:rsidRDefault="00852924" w:rsidP="00852924">
      <w:pPr>
        <w:pStyle w:val="ListParagraph"/>
        <w:numPr>
          <w:ilvl w:val="0"/>
          <w:numId w:val="7"/>
        </w:numPr>
      </w:pPr>
      <w:r>
        <w:t>Assurance of future donor and other support through effective long-range planning and enhancement of the Endowment Fund, and</w:t>
      </w:r>
    </w:p>
    <w:p w14:paraId="6E62CD6B" w14:textId="5FDA161E" w:rsidR="00852924" w:rsidRDefault="00852924" w:rsidP="00852924">
      <w:pPr>
        <w:pStyle w:val="ListParagraph"/>
        <w:numPr>
          <w:ilvl w:val="0"/>
          <w:numId w:val="7"/>
        </w:numPr>
      </w:pPr>
      <w:r>
        <w:t xml:space="preserve">Other programs, if and as determined by the </w:t>
      </w:r>
      <w:r w:rsidR="000B1743">
        <w:t>Board</w:t>
      </w:r>
    </w:p>
    <w:p w14:paraId="5F6F7D93" w14:textId="77777777" w:rsidR="00852924" w:rsidRDefault="00852924" w:rsidP="00C232E1">
      <w:pPr>
        <w:pStyle w:val="NoSpacing"/>
      </w:pPr>
    </w:p>
    <w:p w14:paraId="53316C68" w14:textId="348BE4FA" w:rsidR="00C232E1" w:rsidRDefault="00C232E1" w:rsidP="00C232E1">
      <w:pPr>
        <w:pStyle w:val="NoSpacing"/>
        <w:jc w:val="center"/>
        <w:rPr>
          <w:b/>
        </w:rPr>
      </w:pPr>
      <w:r>
        <w:rPr>
          <w:b/>
        </w:rPr>
        <w:t xml:space="preserve">Article </w:t>
      </w:r>
      <w:r w:rsidR="000B1743">
        <w:rPr>
          <w:b/>
        </w:rPr>
        <w:t>III – Investment Guidelines, Principles, and Policy</w:t>
      </w:r>
    </w:p>
    <w:p w14:paraId="2A18C339" w14:textId="77777777" w:rsidR="00C232E1" w:rsidRPr="00C232E1" w:rsidRDefault="00C232E1" w:rsidP="00C232E1">
      <w:pPr>
        <w:pStyle w:val="NoSpacing"/>
        <w:jc w:val="center"/>
        <w:rPr>
          <w:b/>
        </w:rPr>
      </w:pPr>
      <w:r>
        <w:rPr>
          <w:b/>
        </w:rPr>
        <w:t>Section A</w:t>
      </w:r>
    </w:p>
    <w:p w14:paraId="13063BB3" w14:textId="75DC1572" w:rsidR="00B80191" w:rsidRPr="00D67388" w:rsidRDefault="000B1743" w:rsidP="00C11D73">
      <w:pPr>
        <w:jc w:val="center"/>
        <w:rPr>
          <w:b/>
        </w:rPr>
      </w:pPr>
      <w:r>
        <w:rPr>
          <w:b/>
        </w:rPr>
        <w:t>General Provisions</w:t>
      </w:r>
    </w:p>
    <w:p w14:paraId="712CFB45" w14:textId="1BFF22D7" w:rsidR="00BC619F" w:rsidRDefault="00BC619F" w:rsidP="00BC2232">
      <w:pPr>
        <w:pStyle w:val="ListParagraph"/>
        <w:numPr>
          <w:ilvl w:val="0"/>
          <w:numId w:val="10"/>
        </w:numPr>
      </w:pPr>
      <w:r w:rsidRPr="00BC2232">
        <w:rPr>
          <w:b/>
        </w:rPr>
        <w:t>Time Horizon</w:t>
      </w:r>
      <w:r>
        <w:t>:  The investment guidelines are based on an investment horizon of greater than five years.  Similarly, the strategic asset all</w:t>
      </w:r>
      <w:r w:rsidR="00CD3429">
        <w:t xml:space="preserve">ocation </w:t>
      </w:r>
      <w:r w:rsidR="007A71C3">
        <w:t xml:space="preserve">of Investment Assets </w:t>
      </w:r>
      <w:r w:rsidR="00CD3429">
        <w:t>is based on a long</w:t>
      </w:r>
      <w:r w:rsidR="00C361BD">
        <w:t>-</w:t>
      </w:r>
      <w:r w:rsidR="00CD3429">
        <w:t>term</w:t>
      </w:r>
      <w:r w:rsidR="00B92AED">
        <w:t xml:space="preserve"> perspective</w:t>
      </w:r>
      <w:r w:rsidR="00CD3429">
        <w:t>.</w:t>
      </w:r>
    </w:p>
    <w:p w14:paraId="65B07D93" w14:textId="25E8419D" w:rsidR="00BC619F" w:rsidRDefault="00BC619F" w:rsidP="00BC2232">
      <w:pPr>
        <w:pStyle w:val="ListParagraph"/>
        <w:numPr>
          <w:ilvl w:val="0"/>
          <w:numId w:val="10"/>
        </w:numPr>
      </w:pPr>
      <w:r w:rsidRPr="00BC2232">
        <w:rPr>
          <w:b/>
        </w:rPr>
        <w:t>Liquidity</w:t>
      </w:r>
      <w:r>
        <w:t xml:space="preserve">: Short term liquidity requirements may be met from specific investments set aside to meet liquidity needs as well as from the total return on </w:t>
      </w:r>
      <w:r w:rsidR="000153B7">
        <w:t>the Endowment Fund</w:t>
      </w:r>
      <w:r>
        <w:t>.</w:t>
      </w:r>
    </w:p>
    <w:p w14:paraId="3ECE65D1" w14:textId="2B97F1E8" w:rsidR="00BC619F" w:rsidRDefault="00BC619F" w:rsidP="00BC2232">
      <w:pPr>
        <w:pStyle w:val="ListParagraph"/>
        <w:numPr>
          <w:ilvl w:val="0"/>
          <w:numId w:val="10"/>
        </w:numPr>
      </w:pPr>
      <w:r w:rsidRPr="00BC2232">
        <w:rPr>
          <w:b/>
        </w:rPr>
        <w:t>Risk Tolerance</w:t>
      </w:r>
      <w:r>
        <w:t xml:space="preserve">:  </w:t>
      </w:r>
      <w:r w:rsidR="00D67388">
        <w:t xml:space="preserve">In light of the uncertainties and complexities of contemporary investment markets, </w:t>
      </w:r>
      <w:r w:rsidR="00A10235">
        <w:t>the Finance</w:t>
      </w:r>
      <w:r w:rsidR="00D67388">
        <w:t xml:space="preserve"> Committee recognizes and acknowledges that risk must be assumed </w:t>
      </w:r>
      <w:r w:rsidR="00882D77">
        <w:t>to</w:t>
      </w:r>
      <w:r w:rsidR="00D67388">
        <w:t xml:space="preserve"> provide an opportunity to achieve the longer</w:t>
      </w:r>
      <w:r w:rsidR="0013437F">
        <w:t>-</w:t>
      </w:r>
      <w:r w:rsidR="00D67388">
        <w:t>term objectives.</w:t>
      </w:r>
      <w:r w:rsidR="00F5785E">
        <w:t xml:space="preserve"> </w:t>
      </w:r>
      <w:r w:rsidR="00D67388">
        <w:t xml:space="preserve"> In establishing the risk tolerances of the I</w:t>
      </w:r>
      <w:r w:rsidR="00B92AED">
        <w:t>S</w:t>
      </w:r>
      <w:r w:rsidR="00D67388">
        <w:t xml:space="preserve">PS, the ability to withstand short and intermediate term variability </w:t>
      </w:r>
      <w:r w:rsidR="005A7B6E">
        <w:t>is</w:t>
      </w:r>
      <w:r w:rsidR="00D67388">
        <w:t xml:space="preserve"> considered. Specifically, </w:t>
      </w:r>
      <w:r w:rsidR="00EC6961">
        <w:t>Habitat</w:t>
      </w:r>
      <w:r w:rsidR="00D67388">
        <w:t xml:space="preserve">’s current financial condition and other factors suggest collectively that interim fluctuations in market value and rates of return may be tolerated </w:t>
      </w:r>
      <w:r w:rsidR="00882D77">
        <w:t>to</w:t>
      </w:r>
      <w:r w:rsidR="00D67388">
        <w:t xml:space="preserve"> achieve the long term </w:t>
      </w:r>
      <w:r w:rsidR="00C4202D">
        <w:t xml:space="preserve">“total return” </w:t>
      </w:r>
      <w:r w:rsidR="00D67388">
        <w:t>objectives.</w:t>
      </w:r>
    </w:p>
    <w:p w14:paraId="0F24CE9B" w14:textId="77777777" w:rsidR="00BC2232" w:rsidRDefault="00BC2232" w:rsidP="00BC2232">
      <w:pPr>
        <w:pStyle w:val="NoSpacing"/>
        <w:jc w:val="center"/>
        <w:rPr>
          <w:b/>
        </w:rPr>
      </w:pPr>
    </w:p>
    <w:p w14:paraId="1216D552" w14:textId="77777777" w:rsidR="00BC2232" w:rsidRDefault="00BC2232" w:rsidP="00BC2232">
      <w:pPr>
        <w:pStyle w:val="NoSpacing"/>
        <w:jc w:val="center"/>
        <w:rPr>
          <w:b/>
        </w:rPr>
      </w:pPr>
      <w:r>
        <w:rPr>
          <w:b/>
        </w:rPr>
        <w:t>Section B</w:t>
      </w:r>
    </w:p>
    <w:p w14:paraId="714BBDB9" w14:textId="43E037A4" w:rsidR="00920611" w:rsidRDefault="00920611" w:rsidP="00BC2232">
      <w:pPr>
        <w:pStyle w:val="NoSpacing"/>
        <w:jc w:val="center"/>
        <w:rPr>
          <w:bCs/>
        </w:rPr>
      </w:pPr>
      <w:r>
        <w:rPr>
          <w:b/>
        </w:rPr>
        <w:t xml:space="preserve">Asset </w:t>
      </w:r>
      <w:r w:rsidR="00E43EA3">
        <w:rPr>
          <w:b/>
        </w:rPr>
        <w:t>Class</w:t>
      </w:r>
      <w:r w:rsidR="000B1743">
        <w:rPr>
          <w:b/>
        </w:rPr>
        <w:t xml:space="preserve"> Definitions</w:t>
      </w:r>
    </w:p>
    <w:p w14:paraId="26A5450D" w14:textId="77777777" w:rsidR="00920611" w:rsidRPr="005334A3" w:rsidRDefault="00920611" w:rsidP="00BC2232">
      <w:pPr>
        <w:pStyle w:val="NoSpacing"/>
        <w:jc w:val="center"/>
        <w:rPr>
          <w:bCs/>
        </w:rPr>
      </w:pPr>
    </w:p>
    <w:p w14:paraId="1102696F" w14:textId="3249B974" w:rsidR="00F5785E" w:rsidRDefault="00F5785E" w:rsidP="00BC2232">
      <w:pPr>
        <w:pStyle w:val="ListParagraph"/>
        <w:numPr>
          <w:ilvl w:val="0"/>
          <w:numId w:val="11"/>
        </w:numPr>
      </w:pPr>
      <w:r w:rsidRPr="00BC2232">
        <w:rPr>
          <w:b/>
        </w:rPr>
        <w:t>Long Term Asset Allocation</w:t>
      </w:r>
      <w:r>
        <w:t xml:space="preserve">:  To achieve </w:t>
      </w:r>
      <w:r w:rsidR="00DA429D">
        <w:t xml:space="preserve">Habitat’s </w:t>
      </w:r>
      <w:r>
        <w:t xml:space="preserve">investment objectives, </w:t>
      </w:r>
      <w:r w:rsidR="008852DF">
        <w:t>I</w:t>
      </w:r>
      <w:r w:rsidR="00571470">
        <w:t>nvest</w:t>
      </w:r>
      <w:r w:rsidR="008852DF">
        <w:t>ment</w:t>
      </w:r>
      <w:r>
        <w:t xml:space="preserve"> </w:t>
      </w:r>
      <w:r w:rsidR="008852DF">
        <w:t>A</w:t>
      </w:r>
      <w:r>
        <w:t xml:space="preserve">ssets should be categorized into </w:t>
      </w:r>
      <w:r w:rsidR="00E558B3">
        <w:t xml:space="preserve">and allocated among </w:t>
      </w:r>
      <w:r w:rsidR="00AA2F61">
        <w:t xml:space="preserve">the following </w:t>
      </w:r>
      <w:r>
        <w:t>asset classes</w:t>
      </w:r>
      <w:r w:rsidR="0026260E">
        <w:t>:</w:t>
      </w:r>
    </w:p>
    <w:p w14:paraId="22A08DA4" w14:textId="4E329C91" w:rsidR="00490744" w:rsidRPr="005334A3" w:rsidRDefault="00490744">
      <w:pPr>
        <w:pStyle w:val="ListParagraph"/>
        <w:numPr>
          <w:ilvl w:val="1"/>
          <w:numId w:val="11"/>
        </w:numPr>
      </w:pPr>
      <w:r>
        <w:rPr>
          <w:b/>
        </w:rPr>
        <w:t>Cash and Cash Equivalents:</w:t>
      </w:r>
      <w:r w:rsidR="00B44731">
        <w:rPr>
          <w:b/>
        </w:rPr>
        <w:t xml:space="preserve"> </w:t>
      </w:r>
      <w:r w:rsidR="00B44731">
        <w:rPr>
          <w:bCs/>
        </w:rPr>
        <w:t xml:space="preserve"> Cash and cash equivalents include checking and savings accounts, money market accounts, </w:t>
      </w:r>
      <w:r w:rsidR="009611AB">
        <w:rPr>
          <w:bCs/>
        </w:rPr>
        <w:t xml:space="preserve">and </w:t>
      </w:r>
      <w:r w:rsidR="00B44731">
        <w:rPr>
          <w:bCs/>
        </w:rPr>
        <w:t>certificates of deposit</w:t>
      </w:r>
      <w:r w:rsidR="009611AB">
        <w:rPr>
          <w:bCs/>
        </w:rPr>
        <w:t>.</w:t>
      </w:r>
      <w:r w:rsidR="00CF0D51">
        <w:rPr>
          <w:bCs/>
        </w:rPr>
        <w:t xml:space="preserve">  The purpose of </w:t>
      </w:r>
      <w:r w:rsidR="007A0B57">
        <w:rPr>
          <w:bCs/>
        </w:rPr>
        <w:t xml:space="preserve">holding </w:t>
      </w:r>
      <w:r w:rsidR="00CF0D51">
        <w:rPr>
          <w:bCs/>
        </w:rPr>
        <w:t xml:space="preserve">cash and cash equivalents is to </w:t>
      </w:r>
      <w:r w:rsidR="007A0B57">
        <w:rPr>
          <w:bCs/>
        </w:rPr>
        <w:t>provide liquidity at a very low</w:t>
      </w:r>
      <w:r w:rsidR="00DA0A61">
        <w:rPr>
          <w:bCs/>
        </w:rPr>
        <w:t xml:space="preserve"> </w:t>
      </w:r>
      <w:r w:rsidR="007A0B57">
        <w:rPr>
          <w:bCs/>
        </w:rPr>
        <w:t>risk</w:t>
      </w:r>
      <w:r w:rsidR="00DA0A61">
        <w:rPr>
          <w:bCs/>
        </w:rPr>
        <w:t xml:space="preserve"> of loss</w:t>
      </w:r>
      <w:r w:rsidR="007A0B57">
        <w:rPr>
          <w:bCs/>
        </w:rPr>
        <w:t xml:space="preserve">. </w:t>
      </w:r>
    </w:p>
    <w:p w14:paraId="2493751B" w14:textId="05FCBFFA" w:rsidR="00C4202D" w:rsidRDefault="0012590E">
      <w:pPr>
        <w:pStyle w:val="ListParagraph"/>
        <w:numPr>
          <w:ilvl w:val="1"/>
          <w:numId w:val="11"/>
        </w:numPr>
      </w:pPr>
      <w:r w:rsidRPr="005334A3">
        <w:rPr>
          <w:b/>
        </w:rPr>
        <w:t xml:space="preserve">Stocks / </w:t>
      </w:r>
      <w:r>
        <w:rPr>
          <w:b/>
        </w:rPr>
        <w:t>E</w:t>
      </w:r>
      <w:r w:rsidR="00F5785E" w:rsidRPr="00BC2232">
        <w:rPr>
          <w:b/>
        </w:rPr>
        <w:t xml:space="preserve">quity </w:t>
      </w:r>
      <w:r>
        <w:rPr>
          <w:b/>
        </w:rPr>
        <w:t>I</w:t>
      </w:r>
      <w:r w:rsidR="00F5785E" w:rsidRPr="00BC2232">
        <w:rPr>
          <w:b/>
        </w:rPr>
        <w:t>nvestments</w:t>
      </w:r>
      <w:r w:rsidR="00C4202D">
        <w:t xml:space="preserve">:    </w:t>
      </w:r>
      <w:r w:rsidR="009611AB">
        <w:t xml:space="preserve">Stocks / </w:t>
      </w:r>
      <w:r w:rsidR="005F0F88">
        <w:t xml:space="preserve">equity investments </w:t>
      </w:r>
      <w:r w:rsidR="009A3DD0">
        <w:t xml:space="preserve">are equity investments in domestic and international </w:t>
      </w:r>
      <w:r w:rsidR="009611AB">
        <w:t>companies</w:t>
      </w:r>
      <w:r w:rsidR="009A3DD0">
        <w:t xml:space="preserve"> (including </w:t>
      </w:r>
      <w:r w:rsidR="008A6546">
        <w:t xml:space="preserve">companies in </w:t>
      </w:r>
      <w:r w:rsidR="009A3DD0">
        <w:t xml:space="preserve">developing markets), and </w:t>
      </w:r>
      <w:r w:rsidR="005F0F88">
        <w:t xml:space="preserve">include </w:t>
      </w:r>
      <w:r w:rsidR="00D70C23">
        <w:t xml:space="preserve">individual stocks, </w:t>
      </w:r>
      <w:r w:rsidR="008A6546">
        <w:t xml:space="preserve">stock </w:t>
      </w:r>
      <w:r w:rsidR="00C4202D">
        <w:t xml:space="preserve">mutual funds, </w:t>
      </w:r>
      <w:r w:rsidR="00EF57DF">
        <w:t>and exchange traded funds.</w:t>
      </w:r>
      <w:r w:rsidR="00C4202D">
        <w:t xml:space="preserve"> </w:t>
      </w:r>
      <w:r w:rsidR="005F0F88">
        <w:t xml:space="preserve">The purpose of these investments </w:t>
      </w:r>
      <w:r w:rsidR="00C4202D">
        <w:t xml:space="preserve">is to provide appreciation of both principal and current income at </w:t>
      </w:r>
      <w:r w:rsidR="00C4202D">
        <w:lastRenderedPageBreak/>
        <w:t xml:space="preserve">a rate in excess of inflation.  It is recognized that pursuit of this objective could entail the assumption of significant price variability.  </w:t>
      </w:r>
    </w:p>
    <w:p w14:paraId="7F0CAEF2" w14:textId="67DC1A0D" w:rsidR="0012590E" w:rsidRPr="005334A3" w:rsidRDefault="0012590E" w:rsidP="0012590E">
      <w:pPr>
        <w:pStyle w:val="ListParagraph"/>
        <w:numPr>
          <w:ilvl w:val="1"/>
          <w:numId w:val="11"/>
        </w:numPr>
      </w:pPr>
      <w:r>
        <w:rPr>
          <w:b/>
        </w:rPr>
        <w:t>Bonds / Fixed</w:t>
      </w:r>
      <w:r w:rsidRPr="0012590E">
        <w:rPr>
          <w:b/>
          <w:bCs/>
        </w:rPr>
        <w:t>-</w:t>
      </w:r>
      <w:r w:rsidRPr="005334A3">
        <w:rPr>
          <w:b/>
          <w:bCs/>
        </w:rPr>
        <w:t>Income Investments:</w:t>
      </w:r>
      <w:r w:rsidR="00882E34">
        <w:rPr>
          <w:b/>
          <w:bCs/>
        </w:rPr>
        <w:t xml:space="preserve"> </w:t>
      </w:r>
      <w:r w:rsidR="00882E34">
        <w:t>Bonds and fixed-income investments typically represent debt issued by companies or governments</w:t>
      </w:r>
      <w:r w:rsidR="00245F6F">
        <w:t xml:space="preserve"> </w:t>
      </w:r>
      <w:r w:rsidR="004F2B69">
        <w:t>but may also include bond mutual funds</w:t>
      </w:r>
      <w:r w:rsidR="00EA0FBE">
        <w:t xml:space="preserve"> and bond exchange traded funds.  </w:t>
      </w:r>
    </w:p>
    <w:p w14:paraId="02A3B2D8" w14:textId="096B9023" w:rsidR="00680153" w:rsidRPr="005334A3" w:rsidRDefault="0012590E" w:rsidP="0012590E">
      <w:pPr>
        <w:pStyle w:val="ListParagraph"/>
        <w:numPr>
          <w:ilvl w:val="1"/>
          <w:numId w:val="11"/>
        </w:numPr>
      </w:pPr>
      <w:r>
        <w:rPr>
          <w:b/>
          <w:bCs/>
        </w:rPr>
        <w:t>Alternative Investments:</w:t>
      </w:r>
      <w:r w:rsidR="001149D8">
        <w:rPr>
          <w:b/>
          <w:bCs/>
        </w:rPr>
        <w:t xml:space="preserve"> </w:t>
      </w:r>
      <w:r w:rsidR="001149D8">
        <w:t>Alternative investments include investments in commodities, real estate</w:t>
      </w:r>
      <w:r w:rsidR="003B15F9">
        <w:t xml:space="preserve"> (including real estate investment trusts</w:t>
      </w:r>
      <w:r w:rsidR="007039AE">
        <w:t>)</w:t>
      </w:r>
      <w:r w:rsidR="001149D8">
        <w:t xml:space="preserve">, </w:t>
      </w:r>
      <w:r w:rsidR="003B15F9">
        <w:t xml:space="preserve">private equity, venture capital, </w:t>
      </w:r>
      <w:r w:rsidR="001532D6">
        <w:t>and master limited partnership</w:t>
      </w:r>
      <w:r w:rsidR="00FF6990">
        <w:t>s (MLPs).</w:t>
      </w:r>
    </w:p>
    <w:p w14:paraId="1E0A4053" w14:textId="7092B252" w:rsidR="0012590E" w:rsidRDefault="00680153" w:rsidP="005334A3">
      <w:pPr>
        <w:pStyle w:val="ListParagraph"/>
        <w:numPr>
          <w:ilvl w:val="1"/>
          <w:numId w:val="11"/>
        </w:numPr>
      </w:pPr>
      <w:r>
        <w:rPr>
          <w:b/>
          <w:bCs/>
        </w:rPr>
        <w:t>Other Investments:</w:t>
      </w:r>
      <w:r w:rsidR="0012590E">
        <w:t xml:space="preserve"> </w:t>
      </w:r>
      <w:r w:rsidR="00E1024B">
        <w:t xml:space="preserve">Other investments include hybrid securities, options, and other derivative securities. </w:t>
      </w:r>
    </w:p>
    <w:p w14:paraId="5254E124" w14:textId="68001E68" w:rsidR="00F64B25" w:rsidRDefault="00F64B25" w:rsidP="005334A3">
      <w:pPr>
        <w:pStyle w:val="ListParagraph"/>
        <w:ind w:left="1440"/>
      </w:pPr>
    </w:p>
    <w:p w14:paraId="1D4DFA32" w14:textId="4508C6AF" w:rsidR="008B18E8" w:rsidRDefault="005E4290" w:rsidP="00BC2232">
      <w:pPr>
        <w:pStyle w:val="ListParagraph"/>
        <w:numPr>
          <w:ilvl w:val="0"/>
          <w:numId w:val="11"/>
        </w:numPr>
      </w:pPr>
      <w:r>
        <w:t>I</w:t>
      </w:r>
      <w:r w:rsidR="008B18E8">
        <w:t xml:space="preserve">nvestments should be diversified both by asset class and within asset classes.  The purpose of diversification is to provide reasonable assurance that no single security or class of securities will have a disproportionate impact on the </w:t>
      </w:r>
      <w:r w:rsidR="004F4812">
        <w:t>I</w:t>
      </w:r>
      <w:r w:rsidR="00A071C4">
        <w:t xml:space="preserve">nvested </w:t>
      </w:r>
      <w:r w:rsidR="004F4812">
        <w:t>A</w:t>
      </w:r>
      <w:r w:rsidR="00A071C4">
        <w:t>ssets’</w:t>
      </w:r>
      <w:r w:rsidR="008B18E8">
        <w:t xml:space="preserve"> total results.</w:t>
      </w:r>
    </w:p>
    <w:p w14:paraId="53841B04" w14:textId="22816504" w:rsidR="00011CBC" w:rsidRDefault="008B18E8" w:rsidP="00BC2232">
      <w:pPr>
        <w:pStyle w:val="ListParagraph"/>
        <w:numPr>
          <w:ilvl w:val="0"/>
          <w:numId w:val="11"/>
        </w:numPr>
      </w:pPr>
      <w:r>
        <w:t>The allocation mix between asset classes identified above</w:t>
      </w:r>
      <w:r w:rsidR="001F69E2">
        <w:t xml:space="preserve"> will</w:t>
      </w:r>
      <w:r w:rsidR="00872A7D">
        <w:t xml:space="preserve"> be determined by the Finance Committee, and </w:t>
      </w:r>
      <w:r w:rsidR="001F69E2">
        <w:t xml:space="preserve">will </w:t>
      </w:r>
      <w:r w:rsidR="00872A7D">
        <w:t xml:space="preserve">be consistent with and conform to the </w:t>
      </w:r>
      <w:r w:rsidR="00BA74E9">
        <w:t>f</w:t>
      </w:r>
      <w:r w:rsidR="00872A7D">
        <w:t xml:space="preserve">inancial and </w:t>
      </w:r>
      <w:r w:rsidR="00BA74E9">
        <w:t>i</w:t>
      </w:r>
      <w:r w:rsidR="00872A7D">
        <w:t xml:space="preserve">nvestment </w:t>
      </w:r>
      <w:r w:rsidR="00BA74E9">
        <w:t>o</w:t>
      </w:r>
      <w:r w:rsidR="00872A7D">
        <w:t xml:space="preserve">bjectives </w:t>
      </w:r>
      <w:r w:rsidR="00E43EA3">
        <w:t>and other guidance in this ISPS</w:t>
      </w:r>
      <w:r w:rsidR="00E43EA3" w:rsidDel="00E43EA3">
        <w:t xml:space="preserve"> </w:t>
      </w:r>
      <w:r w:rsidR="00872A7D">
        <w:t>.</w:t>
      </w:r>
    </w:p>
    <w:p w14:paraId="0E0D53E7" w14:textId="77777777" w:rsidR="00BC2232" w:rsidRDefault="00BC2232" w:rsidP="00BC2232">
      <w:pPr>
        <w:pStyle w:val="NoSpacing"/>
        <w:jc w:val="center"/>
        <w:rPr>
          <w:b/>
        </w:rPr>
      </w:pPr>
    </w:p>
    <w:p w14:paraId="2718BEB8" w14:textId="0B3326E2" w:rsidR="00BC2232" w:rsidRPr="00BC2232" w:rsidRDefault="00BC2232" w:rsidP="00BC2232">
      <w:pPr>
        <w:pStyle w:val="NoSpacing"/>
        <w:jc w:val="center"/>
        <w:rPr>
          <w:b/>
        </w:rPr>
      </w:pPr>
      <w:r>
        <w:rPr>
          <w:b/>
        </w:rPr>
        <w:t xml:space="preserve">Section </w:t>
      </w:r>
      <w:r w:rsidR="000B1743">
        <w:rPr>
          <w:b/>
        </w:rPr>
        <w:t>C</w:t>
      </w:r>
    </w:p>
    <w:p w14:paraId="7B594EA4" w14:textId="77777777" w:rsidR="00617C3C" w:rsidRDefault="00617C3C" w:rsidP="00BC2232">
      <w:pPr>
        <w:jc w:val="center"/>
        <w:rPr>
          <w:b/>
        </w:rPr>
      </w:pPr>
      <w:r w:rsidRPr="00617C3C">
        <w:rPr>
          <w:b/>
        </w:rPr>
        <w:t>General Investment Principals</w:t>
      </w:r>
    </w:p>
    <w:p w14:paraId="2C2AD374" w14:textId="42E36305" w:rsidR="00617C3C" w:rsidRDefault="00617C3C" w:rsidP="00BC2232">
      <w:pPr>
        <w:pStyle w:val="ListParagraph"/>
        <w:numPr>
          <w:ilvl w:val="0"/>
          <w:numId w:val="12"/>
        </w:numPr>
      </w:pPr>
      <w:r>
        <w:t xml:space="preserve">Investments shall be made solely in the best interests of </w:t>
      </w:r>
      <w:r w:rsidR="00E710C0">
        <w:t>Habitat</w:t>
      </w:r>
      <w:r w:rsidR="00CD3429">
        <w:t>.</w:t>
      </w:r>
    </w:p>
    <w:p w14:paraId="01FED5F2" w14:textId="285A9920" w:rsidR="00617C3C" w:rsidRDefault="00617C3C" w:rsidP="00BC2232">
      <w:pPr>
        <w:pStyle w:val="ListParagraph"/>
        <w:numPr>
          <w:ilvl w:val="0"/>
          <w:numId w:val="12"/>
        </w:numPr>
      </w:pPr>
      <w:r>
        <w:t xml:space="preserve">The </w:t>
      </w:r>
      <w:r w:rsidR="00C436D3">
        <w:t>Endowment Fund</w:t>
      </w:r>
      <w:r>
        <w:t xml:space="preserve"> shall be managed under principles consistent within the statutes of the State of North Carolina (</w:t>
      </w:r>
      <w:r w:rsidR="00A26CB8">
        <w:t xml:space="preserve">including the </w:t>
      </w:r>
      <w:r>
        <w:t>Prudent Investor Rule)</w:t>
      </w:r>
      <w:r w:rsidR="005A7B6E">
        <w:t>.</w:t>
      </w:r>
    </w:p>
    <w:p w14:paraId="28625F5C" w14:textId="70EAFDE8" w:rsidR="00617C3C" w:rsidRDefault="00617C3C" w:rsidP="00BC2232">
      <w:pPr>
        <w:pStyle w:val="ListParagraph"/>
        <w:numPr>
          <w:ilvl w:val="0"/>
          <w:numId w:val="12"/>
        </w:numPr>
      </w:pPr>
      <w:r>
        <w:t xml:space="preserve">The </w:t>
      </w:r>
      <w:r w:rsidR="00A10235">
        <w:t xml:space="preserve">Finance </w:t>
      </w:r>
      <w:r w:rsidR="00F5785E">
        <w:t>Committee has</w:t>
      </w:r>
      <w:r w:rsidR="00B92AED">
        <w:t xml:space="preserve"> the flexibility </w:t>
      </w:r>
      <w:r w:rsidR="000A52CB">
        <w:t>to cho</w:t>
      </w:r>
      <w:r w:rsidR="001E584D">
        <w:t>o</w:t>
      </w:r>
      <w:r w:rsidR="000A52CB">
        <w:t>se</w:t>
      </w:r>
      <w:r w:rsidR="00B92AED">
        <w:t xml:space="preserve"> </w:t>
      </w:r>
      <w:r w:rsidR="00E317D4">
        <w:t xml:space="preserve">investments </w:t>
      </w:r>
      <w:r w:rsidR="00B92AED">
        <w:t xml:space="preserve">or to </w:t>
      </w:r>
      <w:r w:rsidR="00F5785E">
        <w:t>employ an asset</w:t>
      </w:r>
      <w:r>
        <w:t xml:space="preserve"> manager </w:t>
      </w:r>
      <w:r w:rsidR="00F5785E">
        <w:t xml:space="preserve">for any part of the </w:t>
      </w:r>
      <w:r w:rsidR="00E317D4">
        <w:t>Endowment Fund in order to meet</w:t>
      </w:r>
      <w:r>
        <w:t xml:space="preserve"> </w:t>
      </w:r>
      <w:r w:rsidR="005B2708">
        <w:t>Habitat’s</w:t>
      </w:r>
      <w:r>
        <w:t xml:space="preserve"> objectives.</w:t>
      </w:r>
    </w:p>
    <w:p w14:paraId="60F119F9" w14:textId="33E65A7E" w:rsidR="00617C3C" w:rsidRDefault="00617C3C" w:rsidP="005334A3">
      <w:pPr>
        <w:pStyle w:val="ListParagraph"/>
      </w:pPr>
    </w:p>
    <w:p w14:paraId="1C7E563A" w14:textId="272A539D" w:rsidR="00BC2232" w:rsidRPr="00BC2232" w:rsidRDefault="00BC2232" w:rsidP="00BC2232">
      <w:pPr>
        <w:pStyle w:val="NoSpacing"/>
        <w:jc w:val="center"/>
        <w:rPr>
          <w:b/>
        </w:rPr>
      </w:pPr>
      <w:r>
        <w:rPr>
          <w:b/>
        </w:rPr>
        <w:t xml:space="preserve">Section </w:t>
      </w:r>
      <w:r w:rsidR="000B1743">
        <w:rPr>
          <w:b/>
        </w:rPr>
        <w:t>D</w:t>
      </w:r>
    </w:p>
    <w:p w14:paraId="35BEB0B5" w14:textId="77777777" w:rsidR="002C0CE8" w:rsidRDefault="002C0CE8" w:rsidP="005334A3">
      <w:pPr>
        <w:jc w:val="center"/>
        <w:rPr>
          <w:b/>
        </w:rPr>
      </w:pPr>
      <w:r w:rsidRPr="002C0CE8">
        <w:rPr>
          <w:b/>
        </w:rPr>
        <w:t>Asset Allocation</w:t>
      </w:r>
    </w:p>
    <w:p w14:paraId="592C2AEA" w14:textId="79F9D694" w:rsidR="00D960E4" w:rsidRDefault="007851EE" w:rsidP="00BC2232">
      <w:pPr>
        <w:pStyle w:val="ListParagraph"/>
        <w:numPr>
          <w:ilvl w:val="0"/>
          <w:numId w:val="13"/>
        </w:numPr>
      </w:pPr>
      <w:r>
        <w:t xml:space="preserve">Short Term Assets must be maintained as cash or cash equivalents so that the assets are immediately available to meet Habitat’s liquidity needs.  However, </w:t>
      </w:r>
      <w:r w:rsidR="00CB57CF">
        <w:t xml:space="preserve">to </w:t>
      </w:r>
      <w:r>
        <w:t>the greatest extent practical, Short Term Assets should be employed productively by investment in short term cash equivalents to provide safety, liquidity, and return.</w:t>
      </w:r>
    </w:p>
    <w:p w14:paraId="6F8DEE16" w14:textId="7BBD0422" w:rsidR="002C0CE8" w:rsidRDefault="00AB1150" w:rsidP="00BC2232">
      <w:pPr>
        <w:pStyle w:val="ListParagraph"/>
        <w:numPr>
          <w:ilvl w:val="0"/>
          <w:numId w:val="13"/>
        </w:numPr>
      </w:pPr>
      <w:r>
        <w:t xml:space="preserve">Investment Assets </w:t>
      </w:r>
      <w:r w:rsidR="00D960E4">
        <w:t>should be allocated among the following asset classes within the ranges indicated</w:t>
      </w:r>
      <w:r w:rsidR="002C0CE8">
        <w:t>:</w:t>
      </w:r>
    </w:p>
    <w:p w14:paraId="0EB353F4" w14:textId="77777777" w:rsidR="000B1743" w:rsidRDefault="000B1743" w:rsidP="000B1743"/>
    <w:p w14:paraId="63634FC2" w14:textId="77777777" w:rsidR="000B1743" w:rsidRDefault="000B1743" w:rsidP="005334A3"/>
    <w:p w14:paraId="485E4461" w14:textId="77777777" w:rsidR="00BA74E9" w:rsidRDefault="00BA74E9" w:rsidP="005334A3">
      <w:pPr>
        <w:pStyle w:val="ListParagraph"/>
      </w:pPr>
    </w:p>
    <w:p w14:paraId="756B79B6" w14:textId="44A1C72D" w:rsidR="002C0CE8" w:rsidRPr="00BC2232" w:rsidRDefault="00226CFB" w:rsidP="002C0CE8">
      <w:pPr>
        <w:ind w:left="360"/>
        <w:jc w:val="center"/>
        <w:rPr>
          <w:b/>
        </w:rPr>
      </w:pPr>
      <w:r w:rsidRPr="00E047E6">
        <w:rPr>
          <w:b/>
          <w:highlight w:val="yellow"/>
        </w:rPr>
        <w:lastRenderedPageBreak/>
        <w:t>Asset Allocation Overview</w:t>
      </w:r>
      <w:r w:rsidR="00D5780B" w:rsidRPr="00E047E6">
        <w:rPr>
          <w:b/>
          <w:highlight w:val="yellow"/>
        </w:rPr>
        <w:t xml:space="preserve"> – Investment Assets</w:t>
      </w:r>
    </w:p>
    <w:tbl>
      <w:tblPr>
        <w:tblStyle w:val="TableGrid"/>
        <w:tblW w:w="0" w:type="auto"/>
        <w:tblInd w:w="360" w:type="dxa"/>
        <w:tblLook w:val="04A0" w:firstRow="1" w:lastRow="0" w:firstColumn="1" w:lastColumn="0" w:noHBand="0" w:noVBand="1"/>
      </w:tblPr>
      <w:tblGrid>
        <w:gridCol w:w="2298"/>
        <w:gridCol w:w="2222"/>
        <w:gridCol w:w="2247"/>
        <w:gridCol w:w="2223"/>
      </w:tblGrid>
      <w:tr w:rsidR="00226CFB" w14:paraId="7A46EA43" w14:textId="77777777" w:rsidTr="006A6FE5">
        <w:tc>
          <w:tcPr>
            <w:tcW w:w="2341" w:type="dxa"/>
          </w:tcPr>
          <w:p w14:paraId="37292584" w14:textId="77777777" w:rsidR="00226CFB" w:rsidRDefault="00226CFB" w:rsidP="002C0CE8">
            <w:pPr>
              <w:jc w:val="center"/>
            </w:pPr>
            <w:r>
              <w:t>Asset Class</w:t>
            </w:r>
          </w:p>
        </w:tc>
        <w:tc>
          <w:tcPr>
            <w:tcW w:w="2286" w:type="dxa"/>
          </w:tcPr>
          <w:p w14:paraId="40911018" w14:textId="77777777" w:rsidR="00226CFB" w:rsidRDefault="00226CFB" w:rsidP="002C0CE8">
            <w:pPr>
              <w:jc w:val="center"/>
            </w:pPr>
            <w:r>
              <w:t>Lower Limit</w:t>
            </w:r>
          </w:p>
        </w:tc>
        <w:tc>
          <w:tcPr>
            <w:tcW w:w="2302" w:type="dxa"/>
          </w:tcPr>
          <w:p w14:paraId="18234C14" w14:textId="77777777" w:rsidR="00226CFB" w:rsidRDefault="00226CFB" w:rsidP="002C0CE8">
            <w:pPr>
              <w:jc w:val="center"/>
            </w:pPr>
            <w:r>
              <w:t>Strategic Target</w:t>
            </w:r>
          </w:p>
        </w:tc>
        <w:tc>
          <w:tcPr>
            <w:tcW w:w="2287" w:type="dxa"/>
          </w:tcPr>
          <w:p w14:paraId="1D2A4933" w14:textId="77777777" w:rsidR="00226CFB" w:rsidRDefault="00226CFB" w:rsidP="002C0CE8">
            <w:pPr>
              <w:jc w:val="center"/>
            </w:pPr>
            <w:r>
              <w:t>Upper Limit</w:t>
            </w:r>
          </w:p>
        </w:tc>
      </w:tr>
      <w:tr w:rsidR="00226CFB" w14:paraId="24F1DD93" w14:textId="77777777" w:rsidTr="006A6FE5">
        <w:tc>
          <w:tcPr>
            <w:tcW w:w="2341" w:type="dxa"/>
          </w:tcPr>
          <w:p w14:paraId="0D960A26" w14:textId="77777777" w:rsidR="00226CFB" w:rsidRDefault="00226CFB" w:rsidP="002C0CE8">
            <w:pPr>
              <w:jc w:val="center"/>
            </w:pPr>
            <w:r>
              <w:t>Cash</w:t>
            </w:r>
          </w:p>
        </w:tc>
        <w:tc>
          <w:tcPr>
            <w:tcW w:w="2286" w:type="dxa"/>
          </w:tcPr>
          <w:p w14:paraId="50100661" w14:textId="77777777" w:rsidR="00226CFB" w:rsidRDefault="00226CFB" w:rsidP="002C0CE8">
            <w:pPr>
              <w:jc w:val="center"/>
            </w:pPr>
            <w:r>
              <w:t>0%</w:t>
            </w:r>
          </w:p>
        </w:tc>
        <w:tc>
          <w:tcPr>
            <w:tcW w:w="2302" w:type="dxa"/>
          </w:tcPr>
          <w:p w14:paraId="11D1A862" w14:textId="3ED7693D" w:rsidR="00226CFB" w:rsidRDefault="00D5780B" w:rsidP="002C0CE8">
            <w:pPr>
              <w:jc w:val="center"/>
            </w:pPr>
            <w:r>
              <w:t>0</w:t>
            </w:r>
            <w:r w:rsidR="00226CFB">
              <w:t>%</w:t>
            </w:r>
          </w:p>
        </w:tc>
        <w:tc>
          <w:tcPr>
            <w:tcW w:w="2287" w:type="dxa"/>
          </w:tcPr>
          <w:p w14:paraId="333575B8" w14:textId="68ED3102" w:rsidR="00226CFB" w:rsidRDefault="00AA4E86" w:rsidP="002C0CE8">
            <w:pPr>
              <w:jc w:val="center"/>
            </w:pPr>
            <w:r>
              <w:t>1</w:t>
            </w:r>
            <w:r w:rsidR="00D5780B">
              <w:t>0</w:t>
            </w:r>
            <w:r>
              <w:t>%</w:t>
            </w:r>
          </w:p>
        </w:tc>
      </w:tr>
      <w:tr w:rsidR="00226CFB" w14:paraId="467E26EA" w14:textId="77777777" w:rsidTr="006A6FE5">
        <w:tc>
          <w:tcPr>
            <w:tcW w:w="2341" w:type="dxa"/>
          </w:tcPr>
          <w:p w14:paraId="6DCE200C" w14:textId="6E7E107C" w:rsidR="00226CFB" w:rsidRDefault="001330E6" w:rsidP="002C0CE8">
            <w:pPr>
              <w:jc w:val="center"/>
            </w:pPr>
            <w:r>
              <w:t xml:space="preserve">Stocks / </w:t>
            </w:r>
            <w:r w:rsidR="00226CFB">
              <w:t>Equity</w:t>
            </w:r>
            <w:r>
              <w:t xml:space="preserve"> Investments</w:t>
            </w:r>
          </w:p>
        </w:tc>
        <w:tc>
          <w:tcPr>
            <w:tcW w:w="2286" w:type="dxa"/>
          </w:tcPr>
          <w:p w14:paraId="17B06FC9" w14:textId="77777777" w:rsidR="00226CFB" w:rsidRDefault="00AA4E86" w:rsidP="002C0CE8">
            <w:pPr>
              <w:jc w:val="center"/>
            </w:pPr>
            <w:r>
              <w:t>50%</w:t>
            </w:r>
          </w:p>
        </w:tc>
        <w:tc>
          <w:tcPr>
            <w:tcW w:w="2302" w:type="dxa"/>
          </w:tcPr>
          <w:p w14:paraId="66BD3C92" w14:textId="77777777" w:rsidR="00226CFB" w:rsidRDefault="001E584D" w:rsidP="002E70FA">
            <w:pPr>
              <w:jc w:val="center"/>
            </w:pPr>
            <w:r>
              <w:t>6</w:t>
            </w:r>
            <w:r w:rsidR="002E70FA">
              <w:t>5</w:t>
            </w:r>
            <w:r w:rsidR="00226CFB">
              <w:t>%</w:t>
            </w:r>
          </w:p>
        </w:tc>
        <w:tc>
          <w:tcPr>
            <w:tcW w:w="2287" w:type="dxa"/>
          </w:tcPr>
          <w:p w14:paraId="04C9A2FB" w14:textId="77777777" w:rsidR="00226CFB" w:rsidRDefault="00DD0A97" w:rsidP="002C0CE8">
            <w:pPr>
              <w:jc w:val="center"/>
            </w:pPr>
            <w:r>
              <w:t>75</w:t>
            </w:r>
            <w:r w:rsidR="00226CFB">
              <w:t>%</w:t>
            </w:r>
          </w:p>
        </w:tc>
      </w:tr>
      <w:tr w:rsidR="00226CFB" w14:paraId="79ABC7E6" w14:textId="77777777" w:rsidTr="006A6FE5">
        <w:tc>
          <w:tcPr>
            <w:tcW w:w="2341" w:type="dxa"/>
          </w:tcPr>
          <w:p w14:paraId="70A7AD88" w14:textId="29C5AE2C" w:rsidR="00226CFB" w:rsidRDefault="001330E6" w:rsidP="002C0CE8">
            <w:pPr>
              <w:jc w:val="center"/>
            </w:pPr>
            <w:r>
              <w:t xml:space="preserve">Bonds / </w:t>
            </w:r>
            <w:r w:rsidR="00226CFB">
              <w:t>Fixed Income</w:t>
            </w:r>
          </w:p>
        </w:tc>
        <w:tc>
          <w:tcPr>
            <w:tcW w:w="2286" w:type="dxa"/>
          </w:tcPr>
          <w:p w14:paraId="6BB92208" w14:textId="77777777" w:rsidR="00226CFB" w:rsidRDefault="001E584D" w:rsidP="002C0CE8">
            <w:pPr>
              <w:jc w:val="center"/>
            </w:pPr>
            <w:r>
              <w:t>20</w:t>
            </w:r>
            <w:r w:rsidR="00226CFB">
              <w:t>%</w:t>
            </w:r>
          </w:p>
        </w:tc>
        <w:tc>
          <w:tcPr>
            <w:tcW w:w="2302" w:type="dxa"/>
          </w:tcPr>
          <w:p w14:paraId="385B6ED7" w14:textId="754B616D" w:rsidR="00226CFB" w:rsidRDefault="00875F33" w:rsidP="002C0CE8">
            <w:pPr>
              <w:jc w:val="center"/>
            </w:pPr>
            <w:r>
              <w:t>30</w:t>
            </w:r>
            <w:r w:rsidR="00AA4E86">
              <w:t>%</w:t>
            </w:r>
          </w:p>
        </w:tc>
        <w:tc>
          <w:tcPr>
            <w:tcW w:w="2287" w:type="dxa"/>
          </w:tcPr>
          <w:p w14:paraId="26B7F12B" w14:textId="77777777" w:rsidR="00226CFB" w:rsidRDefault="001E584D" w:rsidP="002C0CE8">
            <w:pPr>
              <w:jc w:val="center"/>
            </w:pPr>
            <w:r>
              <w:t>5</w:t>
            </w:r>
            <w:r w:rsidR="00226CFB">
              <w:t>0%</w:t>
            </w:r>
          </w:p>
        </w:tc>
      </w:tr>
      <w:tr w:rsidR="00226CFB" w14:paraId="4DA29020" w14:textId="77777777" w:rsidTr="006A6FE5">
        <w:tc>
          <w:tcPr>
            <w:tcW w:w="2341" w:type="dxa"/>
          </w:tcPr>
          <w:p w14:paraId="4E20B51F" w14:textId="534F1B61" w:rsidR="00226CFB" w:rsidRDefault="001330E6" w:rsidP="002C0CE8">
            <w:pPr>
              <w:jc w:val="center"/>
            </w:pPr>
            <w:r>
              <w:t>Alternative</w:t>
            </w:r>
          </w:p>
        </w:tc>
        <w:tc>
          <w:tcPr>
            <w:tcW w:w="2286" w:type="dxa"/>
          </w:tcPr>
          <w:p w14:paraId="57D135C2" w14:textId="77777777" w:rsidR="00226CFB" w:rsidRDefault="00226CFB" w:rsidP="002C0CE8">
            <w:pPr>
              <w:jc w:val="center"/>
            </w:pPr>
            <w:r>
              <w:t>0%</w:t>
            </w:r>
          </w:p>
        </w:tc>
        <w:tc>
          <w:tcPr>
            <w:tcW w:w="2302" w:type="dxa"/>
          </w:tcPr>
          <w:p w14:paraId="100848F8" w14:textId="77777777" w:rsidR="00226CFB" w:rsidRDefault="00226CFB" w:rsidP="002C0CE8">
            <w:pPr>
              <w:jc w:val="center"/>
            </w:pPr>
            <w:r>
              <w:t>5%</w:t>
            </w:r>
          </w:p>
        </w:tc>
        <w:tc>
          <w:tcPr>
            <w:tcW w:w="2287" w:type="dxa"/>
          </w:tcPr>
          <w:p w14:paraId="28E3FE61" w14:textId="1CDA3A06" w:rsidR="00226CFB" w:rsidRDefault="00B12C0B" w:rsidP="002C0CE8">
            <w:pPr>
              <w:jc w:val="center"/>
            </w:pPr>
            <w:r>
              <w:t>10</w:t>
            </w:r>
            <w:r w:rsidR="00226CFB">
              <w:t>%</w:t>
            </w:r>
          </w:p>
        </w:tc>
      </w:tr>
      <w:tr w:rsidR="00E94337" w14:paraId="6EF6AF8B" w14:textId="77777777" w:rsidTr="005334A3">
        <w:tc>
          <w:tcPr>
            <w:tcW w:w="2341" w:type="dxa"/>
            <w:shd w:val="clear" w:color="auto" w:fill="auto"/>
          </w:tcPr>
          <w:p w14:paraId="3118C785" w14:textId="1B588019" w:rsidR="00E94337" w:rsidDel="001330E6" w:rsidRDefault="00E94337" w:rsidP="002C0CE8">
            <w:pPr>
              <w:jc w:val="center"/>
            </w:pPr>
            <w:r>
              <w:t>Other</w:t>
            </w:r>
          </w:p>
        </w:tc>
        <w:tc>
          <w:tcPr>
            <w:tcW w:w="2286" w:type="dxa"/>
            <w:shd w:val="clear" w:color="auto" w:fill="auto"/>
          </w:tcPr>
          <w:p w14:paraId="1EAAF722" w14:textId="61D99339" w:rsidR="00E94337" w:rsidRDefault="00E94337" w:rsidP="002C0CE8">
            <w:pPr>
              <w:jc w:val="center"/>
            </w:pPr>
            <w:r>
              <w:t>0%</w:t>
            </w:r>
          </w:p>
        </w:tc>
        <w:tc>
          <w:tcPr>
            <w:tcW w:w="2302" w:type="dxa"/>
            <w:shd w:val="clear" w:color="auto" w:fill="auto"/>
          </w:tcPr>
          <w:p w14:paraId="1FD7A793" w14:textId="1DB6D02F" w:rsidR="00E94337" w:rsidRDefault="00875F33" w:rsidP="002C0CE8">
            <w:pPr>
              <w:jc w:val="center"/>
            </w:pPr>
            <w:r>
              <w:t>0</w:t>
            </w:r>
            <w:r w:rsidR="00E94337">
              <w:t>%</w:t>
            </w:r>
          </w:p>
        </w:tc>
        <w:tc>
          <w:tcPr>
            <w:tcW w:w="2287" w:type="dxa"/>
            <w:shd w:val="clear" w:color="auto" w:fill="auto"/>
          </w:tcPr>
          <w:p w14:paraId="2F446C2C" w14:textId="70892F6B" w:rsidR="00E94337" w:rsidRDefault="00875F33" w:rsidP="002C0CE8">
            <w:pPr>
              <w:jc w:val="center"/>
            </w:pPr>
            <w:r>
              <w:t>5</w:t>
            </w:r>
            <w:r w:rsidR="00B12C0B">
              <w:t>%</w:t>
            </w:r>
          </w:p>
        </w:tc>
      </w:tr>
    </w:tbl>
    <w:p w14:paraId="70800100" w14:textId="77777777" w:rsidR="00226CFB" w:rsidRPr="00DE1CC3" w:rsidRDefault="00226CFB" w:rsidP="002C0CE8">
      <w:pPr>
        <w:ind w:left="360"/>
        <w:jc w:val="center"/>
        <w:rPr>
          <w:sz w:val="8"/>
          <w:szCs w:val="8"/>
        </w:rPr>
      </w:pPr>
    </w:p>
    <w:p w14:paraId="79B353FC" w14:textId="7AF0AD3A" w:rsidR="00226CFB" w:rsidRDefault="00226CFB" w:rsidP="00BC2232">
      <w:pPr>
        <w:pStyle w:val="ListParagraph"/>
        <w:numPr>
          <w:ilvl w:val="0"/>
          <w:numId w:val="13"/>
        </w:numPr>
      </w:pPr>
      <w:r w:rsidRPr="00BC2232">
        <w:rPr>
          <w:b/>
        </w:rPr>
        <w:t xml:space="preserve">Rebalancing: </w:t>
      </w:r>
      <w:r>
        <w:t xml:space="preserve">An asset class </w:t>
      </w:r>
      <w:r w:rsidR="00882D77">
        <w:t>is</w:t>
      </w:r>
      <w:r>
        <w:t xml:space="preserve"> within an acceptable range if the current allocation is within the lower and uppe</w:t>
      </w:r>
      <w:r w:rsidR="008D2419">
        <w:t xml:space="preserve">r limits as stated above.  The </w:t>
      </w:r>
      <w:r>
        <w:t>necessary cash inflows/outflow</w:t>
      </w:r>
      <w:r w:rsidR="008D2419">
        <w:t>s</w:t>
      </w:r>
      <w:r>
        <w:t xml:space="preserve"> will be deployed in a manner consistent with the strategic asset allocation. </w:t>
      </w:r>
    </w:p>
    <w:p w14:paraId="6FA9D578" w14:textId="77777777" w:rsidR="00DE1CC3" w:rsidRPr="00DE1CC3" w:rsidRDefault="00DE1CC3" w:rsidP="003B393A">
      <w:pPr>
        <w:rPr>
          <w:sz w:val="8"/>
          <w:szCs w:val="8"/>
        </w:rPr>
      </w:pPr>
    </w:p>
    <w:p w14:paraId="03B304A0" w14:textId="57FBA05B" w:rsidR="008D2419" w:rsidRDefault="00BC2232" w:rsidP="00E43EA3">
      <w:pPr>
        <w:pStyle w:val="NoSpacing"/>
        <w:jc w:val="center"/>
        <w:rPr>
          <w:bCs/>
        </w:rPr>
      </w:pPr>
      <w:r>
        <w:rPr>
          <w:b/>
        </w:rPr>
        <w:t xml:space="preserve">Article </w:t>
      </w:r>
      <w:r w:rsidR="00E43EA3">
        <w:rPr>
          <w:b/>
        </w:rPr>
        <w:t>I</w:t>
      </w:r>
      <w:r>
        <w:rPr>
          <w:b/>
        </w:rPr>
        <w:t>V</w:t>
      </w:r>
      <w:r w:rsidR="00E43EA3">
        <w:rPr>
          <w:b/>
        </w:rPr>
        <w:t xml:space="preserve"> - </w:t>
      </w:r>
      <w:r w:rsidR="000F341D">
        <w:rPr>
          <w:b/>
        </w:rPr>
        <w:t>Management</w:t>
      </w:r>
      <w:r w:rsidR="000F341D" w:rsidRPr="008D2419">
        <w:rPr>
          <w:b/>
        </w:rPr>
        <w:t xml:space="preserve"> </w:t>
      </w:r>
      <w:r w:rsidR="008D2419" w:rsidRPr="008D2419">
        <w:rPr>
          <w:b/>
        </w:rPr>
        <w:t>Guidelines</w:t>
      </w:r>
    </w:p>
    <w:p w14:paraId="66C61005" w14:textId="77777777" w:rsidR="00E43EA3" w:rsidRPr="005334A3" w:rsidRDefault="00E43EA3" w:rsidP="005334A3">
      <w:pPr>
        <w:pStyle w:val="NoSpacing"/>
        <w:jc w:val="center"/>
        <w:rPr>
          <w:bCs/>
        </w:rPr>
      </w:pPr>
    </w:p>
    <w:p w14:paraId="05C52188" w14:textId="1F5F2D44" w:rsidR="00DD0224" w:rsidRDefault="002B4E3C" w:rsidP="00792EC9">
      <w:r>
        <w:t>Every</w:t>
      </w:r>
      <w:r w:rsidR="005B0943">
        <w:t xml:space="preserve"> external</w:t>
      </w:r>
      <w:r w:rsidR="008D2419">
        <w:t xml:space="preserve"> manager selected to manage the </w:t>
      </w:r>
      <w:r w:rsidR="00F62980">
        <w:t>I</w:t>
      </w:r>
      <w:r w:rsidR="008D2419">
        <w:t xml:space="preserve">nvested </w:t>
      </w:r>
      <w:r w:rsidR="00F62980">
        <w:t>A</w:t>
      </w:r>
      <w:r w:rsidR="008D2419">
        <w:t xml:space="preserve">ssets must adhere to the following guidelines. </w:t>
      </w:r>
      <w:r>
        <w:t xml:space="preserve"> Except under unusual circumstances, all transactions should be entered into on the basis of best execution, which means best realized net price.  Notwithstanding the above, commissions or competitive asset fees may be designated for payment of services rendered to the Fund in connection with its management.</w:t>
      </w:r>
    </w:p>
    <w:p w14:paraId="1D871AB7" w14:textId="77777777" w:rsidR="004F7961" w:rsidRPr="00792EC9" w:rsidRDefault="004F7961" w:rsidP="00792EC9"/>
    <w:p w14:paraId="0D0A36E7" w14:textId="433C303A" w:rsidR="006F2B97" w:rsidRDefault="00BC2232" w:rsidP="005334A3">
      <w:pPr>
        <w:pStyle w:val="NoSpacing"/>
        <w:jc w:val="center"/>
        <w:rPr>
          <w:b/>
        </w:rPr>
      </w:pPr>
      <w:r>
        <w:rPr>
          <w:b/>
        </w:rPr>
        <w:t>Article V</w:t>
      </w:r>
      <w:r w:rsidR="00E43EA3">
        <w:rPr>
          <w:b/>
        </w:rPr>
        <w:t xml:space="preserve"> - </w:t>
      </w:r>
      <w:r w:rsidR="006E3EF5" w:rsidRPr="006E3EF5">
        <w:rPr>
          <w:b/>
        </w:rPr>
        <w:t>Responsibilities</w:t>
      </w:r>
    </w:p>
    <w:p w14:paraId="5BE8E367" w14:textId="77777777" w:rsidR="00BC2232" w:rsidRPr="00BC2232" w:rsidRDefault="00BC2232" w:rsidP="00BC2232">
      <w:pPr>
        <w:pStyle w:val="NoSpacing"/>
        <w:jc w:val="center"/>
        <w:rPr>
          <w:b/>
        </w:rPr>
      </w:pPr>
      <w:r>
        <w:rPr>
          <w:b/>
        </w:rPr>
        <w:t>Section A</w:t>
      </w:r>
    </w:p>
    <w:p w14:paraId="1068DC0F" w14:textId="771301CD" w:rsidR="006E3EF5" w:rsidRDefault="006E3EF5" w:rsidP="00BC2232">
      <w:pPr>
        <w:ind w:left="360" w:hanging="360"/>
        <w:jc w:val="center"/>
        <w:rPr>
          <w:b/>
        </w:rPr>
      </w:pPr>
      <w:r>
        <w:rPr>
          <w:b/>
        </w:rPr>
        <w:t>Board of Directors</w:t>
      </w:r>
    </w:p>
    <w:p w14:paraId="21CEE5AC" w14:textId="6183A42A" w:rsidR="006E3EF5" w:rsidRDefault="00801AEF" w:rsidP="003B393A">
      <w:r>
        <w:t xml:space="preserve">The </w:t>
      </w:r>
      <w:r w:rsidR="000B1743">
        <w:t>Board</w:t>
      </w:r>
      <w:r w:rsidR="006E3EF5">
        <w:t xml:space="preserve"> has delegated </w:t>
      </w:r>
      <w:r w:rsidR="003F4310">
        <w:t xml:space="preserve">advisory </w:t>
      </w:r>
      <w:r w:rsidR="006E3EF5">
        <w:t xml:space="preserve">responsibility for management of </w:t>
      </w:r>
      <w:r w:rsidR="00A846A7">
        <w:t>the Endowment Fund</w:t>
      </w:r>
      <w:r w:rsidR="006E3EF5">
        <w:t xml:space="preserve"> to the Finance Committee. The </w:t>
      </w:r>
      <w:r w:rsidR="000B1743">
        <w:t>Board</w:t>
      </w:r>
      <w:r w:rsidR="006E3EF5">
        <w:t xml:space="preserve"> will receive routine reports </w:t>
      </w:r>
      <w:r w:rsidR="00E30E2B">
        <w:t xml:space="preserve">and recommendations </w:t>
      </w:r>
      <w:r w:rsidR="006E3EF5">
        <w:t>from the Finance Committee regarding investment decisions</w:t>
      </w:r>
      <w:r w:rsidR="00792EC9">
        <w:t>, withdrawals, additions,</w:t>
      </w:r>
      <w:r w:rsidR="006E3EF5">
        <w:t xml:space="preserve"> and performance.  </w:t>
      </w:r>
      <w:r w:rsidR="00E30E2B">
        <w:t>T</w:t>
      </w:r>
      <w:r w:rsidR="003B393A">
        <w:t xml:space="preserve">he </w:t>
      </w:r>
      <w:r w:rsidR="000B1743">
        <w:t>Board</w:t>
      </w:r>
      <w:r w:rsidR="003B393A">
        <w:t xml:space="preserve"> retains its fiduciary responsibility over </w:t>
      </w:r>
      <w:r w:rsidR="00F310A3">
        <w:t>Habitat</w:t>
      </w:r>
      <w:r w:rsidR="003B393A">
        <w:t xml:space="preserve"> assets and the delegation of duty does not transfer the responsibility of board oversight.</w:t>
      </w:r>
    </w:p>
    <w:p w14:paraId="194DB022" w14:textId="77777777" w:rsidR="00BC2232" w:rsidRPr="00BC2232" w:rsidRDefault="00BC2232" w:rsidP="00BC2232">
      <w:pPr>
        <w:pStyle w:val="NoSpacing"/>
        <w:jc w:val="center"/>
        <w:rPr>
          <w:b/>
        </w:rPr>
      </w:pPr>
      <w:r>
        <w:rPr>
          <w:b/>
        </w:rPr>
        <w:t>Section B</w:t>
      </w:r>
    </w:p>
    <w:p w14:paraId="546AC81D" w14:textId="123DCBD5" w:rsidR="003B393A" w:rsidRPr="00BC2232" w:rsidRDefault="003B393A" w:rsidP="00BC2232">
      <w:pPr>
        <w:pStyle w:val="NoSpacing"/>
        <w:jc w:val="center"/>
        <w:rPr>
          <w:b/>
        </w:rPr>
      </w:pPr>
      <w:r w:rsidRPr="00BC2232">
        <w:rPr>
          <w:b/>
        </w:rPr>
        <w:t>Finance Committee</w:t>
      </w:r>
    </w:p>
    <w:p w14:paraId="6C695B51" w14:textId="77777777" w:rsidR="004F7961" w:rsidRDefault="004F7961" w:rsidP="00BE2654">
      <w:pPr>
        <w:pStyle w:val="NoSpacing"/>
      </w:pPr>
    </w:p>
    <w:p w14:paraId="1F8BF07B" w14:textId="5E1EB3C7" w:rsidR="003B393A" w:rsidRDefault="003B393A" w:rsidP="00BE2654">
      <w:pPr>
        <w:pStyle w:val="NoSpacing"/>
      </w:pPr>
      <w:r>
        <w:t xml:space="preserve">The Specific duties as it relates to </w:t>
      </w:r>
      <w:r w:rsidR="00B94E43">
        <w:t>i</w:t>
      </w:r>
      <w:r>
        <w:t xml:space="preserve">nvestments of </w:t>
      </w:r>
      <w:r w:rsidR="00F310A3">
        <w:t>Habitat funds</w:t>
      </w:r>
      <w:r w:rsidR="00792EC9">
        <w:t xml:space="preserve"> </w:t>
      </w:r>
      <w:r>
        <w:t>include:</w:t>
      </w:r>
    </w:p>
    <w:p w14:paraId="56956065" w14:textId="77777777" w:rsidR="00BE2654" w:rsidRPr="00BE2654" w:rsidRDefault="00BE2654" w:rsidP="00BE2654">
      <w:pPr>
        <w:pStyle w:val="NoSpacing"/>
        <w:rPr>
          <w:sz w:val="8"/>
          <w:szCs w:val="8"/>
        </w:rPr>
      </w:pPr>
    </w:p>
    <w:p w14:paraId="3B9FE7FF" w14:textId="44BA9FEA" w:rsidR="003B393A" w:rsidRDefault="00E43EA3" w:rsidP="003B393A">
      <w:pPr>
        <w:pStyle w:val="ListParagraph"/>
        <w:numPr>
          <w:ilvl w:val="0"/>
          <w:numId w:val="5"/>
        </w:numPr>
      </w:pPr>
      <w:r>
        <w:t>Selecting the</w:t>
      </w:r>
      <w:r w:rsidR="00792EC9">
        <w:t xml:space="preserve"> mix of fund</w:t>
      </w:r>
      <w:r w:rsidR="00960783">
        <w:t xml:space="preserve"> investments,</w:t>
      </w:r>
      <w:r w:rsidR="00792EC9">
        <w:t xml:space="preserve"> etc. and/or </w:t>
      </w:r>
      <w:r w:rsidR="00B94E43">
        <w:t>selection of an asset manager</w:t>
      </w:r>
    </w:p>
    <w:p w14:paraId="0093EB4C" w14:textId="4BBDFC3F" w:rsidR="003B393A" w:rsidRDefault="008E3A75" w:rsidP="003B393A">
      <w:pPr>
        <w:pStyle w:val="ListParagraph"/>
        <w:numPr>
          <w:ilvl w:val="0"/>
          <w:numId w:val="5"/>
        </w:numPr>
      </w:pPr>
      <w:r>
        <w:t>E</w:t>
      </w:r>
      <w:r w:rsidR="00792EC9">
        <w:t xml:space="preserve">valuating any </w:t>
      </w:r>
      <w:r w:rsidR="00960783">
        <w:t>invested fund</w:t>
      </w:r>
      <w:r>
        <w:t>, account</w:t>
      </w:r>
      <w:r w:rsidR="00B94E43">
        <w:t>,</w:t>
      </w:r>
      <w:r w:rsidR="00960783">
        <w:t xml:space="preserve"> or </w:t>
      </w:r>
      <w:r w:rsidR="00B94E43">
        <w:t>a</w:t>
      </w:r>
      <w:r w:rsidR="00792EC9">
        <w:t>sset</w:t>
      </w:r>
      <w:r w:rsidR="003B393A">
        <w:t xml:space="preserve"> </w:t>
      </w:r>
      <w:r w:rsidR="00B94E43">
        <w:t>m</w:t>
      </w:r>
      <w:r w:rsidR="003B393A">
        <w:t xml:space="preserve">anager on </w:t>
      </w:r>
      <w:r w:rsidR="00B94E43">
        <w:t xml:space="preserve">at least </w:t>
      </w:r>
      <w:r w:rsidR="003B393A">
        <w:t xml:space="preserve">an </w:t>
      </w:r>
      <w:r w:rsidR="00B94E43">
        <w:t>a</w:t>
      </w:r>
      <w:r w:rsidR="003B393A">
        <w:t xml:space="preserve">nnual </w:t>
      </w:r>
      <w:r w:rsidR="00B94E43">
        <w:t>basis</w:t>
      </w:r>
    </w:p>
    <w:p w14:paraId="45B664ED" w14:textId="0F46E68D" w:rsidR="00960783" w:rsidRDefault="00960783" w:rsidP="003B393A">
      <w:pPr>
        <w:pStyle w:val="ListParagraph"/>
        <w:numPr>
          <w:ilvl w:val="0"/>
          <w:numId w:val="5"/>
        </w:numPr>
      </w:pPr>
      <w:r>
        <w:t xml:space="preserve">Clearly communicating </w:t>
      </w:r>
      <w:r w:rsidR="00932BC3">
        <w:t xml:space="preserve">Habitat’s </w:t>
      </w:r>
      <w:r>
        <w:t>policies</w:t>
      </w:r>
      <w:r w:rsidR="008E3A75">
        <w:t xml:space="preserve"> and targets</w:t>
      </w:r>
      <w:r>
        <w:t xml:space="preserve"> to the </w:t>
      </w:r>
      <w:r w:rsidR="00C45E68">
        <w:t xml:space="preserve">asset </w:t>
      </w:r>
      <w:r>
        <w:t xml:space="preserve">manager  </w:t>
      </w:r>
    </w:p>
    <w:p w14:paraId="014AB949" w14:textId="7014E1A4" w:rsidR="003B393A" w:rsidRDefault="00FD47B4" w:rsidP="003B393A">
      <w:pPr>
        <w:pStyle w:val="ListParagraph"/>
        <w:numPr>
          <w:ilvl w:val="0"/>
          <w:numId w:val="5"/>
        </w:numPr>
      </w:pPr>
      <w:r>
        <w:t xml:space="preserve">Monitoring the </w:t>
      </w:r>
      <w:r w:rsidR="00C45E68">
        <w:t>asset manager</w:t>
      </w:r>
      <w:r w:rsidR="00091C28">
        <w:t xml:space="preserve">, </w:t>
      </w:r>
      <w:r w:rsidR="007063F0">
        <w:t>fund</w:t>
      </w:r>
      <w:r>
        <w:t xml:space="preserve"> </w:t>
      </w:r>
      <w:r w:rsidR="008E3A75">
        <w:t>performance,</w:t>
      </w:r>
      <w:r w:rsidR="003B393A">
        <w:t xml:space="preserve"> </w:t>
      </w:r>
      <w:r w:rsidR="008E3A75">
        <w:t xml:space="preserve">and </w:t>
      </w:r>
      <w:r w:rsidR="003B393A">
        <w:t>costs at least annually</w:t>
      </w:r>
    </w:p>
    <w:p w14:paraId="2AB2D4A7" w14:textId="77777777" w:rsidR="006A6FE5" w:rsidRDefault="008E3A75" w:rsidP="003B393A">
      <w:pPr>
        <w:pStyle w:val="ListParagraph"/>
        <w:numPr>
          <w:ilvl w:val="0"/>
          <w:numId w:val="5"/>
        </w:numPr>
      </w:pPr>
      <w:r>
        <w:t>Evaluate</w:t>
      </w:r>
      <w:r w:rsidR="002E70FA">
        <w:t xml:space="preserve"> multiple portfolio management options </w:t>
      </w:r>
      <w:r w:rsidR="00FD47B4">
        <w:t>at least every five</w:t>
      </w:r>
      <w:r w:rsidR="006A6FE5">
        <w:t xml:space="preserve"> years</w:t>
      </w:r>
    </w:p>
    <w:p w14:paraId="2994C7D0" w14:textId="6EFAEA69" w:rsidR="005B0943" w:rsidRDefault="005B0943" w:rsidP="005B0943">
      <w:pPr>
        <w:pStyle w:val="ListParagraph"/>
        <w:numPr>
          <w:ilvl w:val="0"/>
          <w:numId w:val="5"/>
        </w:numPr>
      </w:pPr>
      <w:r>
        <w:t>Establishing, reviewing</w:t>
      </w:r>
      <w:r w:rsidR="00E43EA3">
        <w:t>,</w:t>
      </w:r>
      <w:r>
        <w:t xml:space="preserve"> and maintaining the ISPS</w:t>
      </w:r>
    </w:p>
    <w:p w14:paraId="4BC23DEE" w14:textId="77777777" w:rsidR="00BC2232" w:rsidRDefault="00BC2232" w:rsidP="00BC2232">
      <w:pPr>
        <w:pStyle w:val="NoSpacing"/>
        <w:jc w:val="center"/>
        <w:rPr>
          <w:b/>
        </w:rPr>
      </w:pPr>
      <w:r>
        <w:rPr>
          <w:b/>
        </w:rPr>
        <w:lastRenderedPageBreak/>
        <w:t>Section C</w:t>
      </w:r>
    </w:p>
    <w:p w14:paraId="75CEC0F7" w14:textId="53BAAAB2" w:rsidR="008D0E0B" w:rsidRPr="00BE2654" w:rsidRDefault="00456121" w:rsidP="00BC2232">
      <w:pPr>
        <w:pStyle w:val="NoSpacing"/>
        <w:jc w:val="center"/>
        <w:rPr>
          <w:b/>
        </w:rPr>
      </w:pPr>
      <w:r>
        <w:rPr>
          <w:b/>
        </w:rPr>
        <w:t xml:space="preserve">Habitat </w:t>
      </w:r>
      <w:r w:rsidR="00935E74" w:rsidRPr="00BE2654">
        <w:rPr>
          <w:b/>
        </w:rPr>
        <w:t>Executive Director</w:t>
      </w:r>
    </w:p>
    <w:p w14:paraId="17CDC2A9" w14:textId="77777777" w:rsidR="00BE2654" w:rsidRPr="00BE2654" w:rsidRDefault="00BE2654" w:rsidP="00BE2654">
      <w:pPr>
        <w:pStyle w:val="NoSpacing"/>
        <w:rPr>
          <w:sz w:val="8"/>
          <w:szCs w:val="8"/>
        </w:rPr>
      </w:pPr>
    </w:p>
    <w:p w14:paraId="4BB19BD8" w14:textId="3D81DFB8" w:rsidR="00C55043" w:rsidRPr="00011CBC" w:rsidRDefault="00011CBC" w:rsidP="000E7EEE">
      <w:pPr>
        <w:pStyle w:val="ListParagraph"/>
        <w:numPr>
          <w:ilvl w:val="0"/>
          <w:numId w:val="6"/>
        </w:numPr>
        <w:jc w:val="both"/>
      </w:pPr>
      <w:r>
        <w:t xml:space="preserve">The Executive Director will confer with the </w:t>
      </w:r>
      <w:r w:rsidR="007D1829">
        <w:t>Treasurer</w:t>
      </w:r>
      <w:r>
        <w:t xml:space="preserve">, Finance Committee, and the </w:t>
      </w:r>
      <w:r w:rsidR="000B1743">
        <w:t>Board</w:t>
      </w:r>
      <w:r w:rsidR="00FD47B4">
        <w:t xml:space="preserve"> as </w:t>
      </w:r>
      <w:r w:rsidR="00960783">
        <w:t xml:space="preserve">fiscal budget, </w:t>
      </w:r>
      <w:r w:rsidR="00FD47B4">
        <w:t>spending and endowment withdrawal</w:t>
      </w:r>
      <w:r>
        <w:t xml:space="preserve"> decisions are being made.</w:t>
      </w:r>
    </w:p>
    <w:p w14:paraId="77B48E20" w14:textId="77777777" w:rsidR="00BC2232" w:rsidRDefault="00BC2232" w:rsidP="00BC2232">
      <w:pPr>
        <w:pStyle w:val="NoSpacing"/>
        <w:jc w:val="center"/>
        <w:rPr>
          <w:b/>
        </w:rPr>
      </w:pPr>
      <w:r>
        <w:rPr>
          <w:b/>
        </w:rPr>
        <w:t>Section D</w:t>
      </w:r>
    </w:p>
    <w:p w14:paraId="64BD479A" w14:textId="070ED786" w:rsidR="003B393A" w:rsidRPr="00BE2654" w:rsidRDefault="007632E9" w:rsidP="00BC2232">
      <w:pPr>
        <w:pStyle w:val="NoSpacing"/>
        <w:jc w:val="center"/>
        <w:rPr>
          <w:b/>
        </w:rPr>
      </w:pPr>
      <w:r>
        <w:rPr>
          <w:b/>
        </w:rPr>
        <w:t>Finance Director</w:t>
      </w:r>
    </w:p>
    <w:p w14:paraId="4C70C107" w14:textId="77777777" w:rsidR="00BE2654" w:rsidRPr="00BE2654" w:rsidRDefault="00BE2654" w:rsidP="00BE2654">
      <w:pPr>
        <w:pStyle w:val="NoSpacing"/>
        <w:rPr>
          <w:sz w:val="8"/>
          <w:szCs w:val="8"/>
        </w:rPr>
      </w:pPr>
    </w:p>
    <w:p w14:paraId="1CA9FA78" w14:textId="4CD16D0B" w:rsidR="00262EC2" w:rsidRDefault="00AA51AB" w:rsidP="00262EC2">
      <w:r w:rsidRPr="00AA51AB">
        <w:t xml:space="preserve">On a </w:t>
      </w:r>
      <w:r w:rsidR="00E43EA3" w:rsidRPr="00AA51AB">
        <w:t>day-to-day</w:t>
      </w:r>
      <w:r w:rsidRPr="00AA51AB">
        <w:t xml:space="preserve"> basis, </w:t>
      </w:r>
      <w:r w:rsidR="000E47F5">
        <w:t>Habitat’s financial matters will be handled by the</w:t>
      </w:r>
      <w:r w:rsidR="004A7B98">
        <w:t xml:space="preserve"> Habitat staff member designated by the Executive Director as </w:t>
      </w:r>
      <w:r w:rsidR="007632E9">
        <w:t>“Finance Director.”</w:t>
      </w:r>
      <w:r w:rsidR="00FB7294">
        <w:t xml:space="preserve">  The </w:t>
      </w:r>
      <w:r w:rsidR="007632E9">
        <w:t>Finance Director</w:t>
      </w:r>
      <w:r w:rsidR="00D406D0">
        <w:t xml:space="preserve"> will handle most</w:t>
      </w:r>
      <w:r>
        <w:t xml:space="preserve"> day</w:t>
      </w:r>
      <w:r w:rsidR="000A75DE">
        <w:t>-</w:t>
      </w:r>
      <w:r>
        <w:t>to</w:t>
      </w:r>
      <w:r w:rsidR="000A75DE">
        <w:t>-</w:t>
      </w:r>
      <w:r>
        <w:t xml:space="preserve">day communication between the </w:t>
      </w:r>
      <w:r w:rsidR="00A51880">
        <w:t xml:space="preserve">Finance </w:t>
      </w:r>
      <w:r>
        <w:t xml:space="preserve">Committee and the </w:t>
      </w:r>
      <w:r w:rsidR="00960783">
        <w:t xml:space="preserve">investment firms or </w:t>
      </w:r>
      <w:r w:rsidR="007063F0">
        <w:t>external managers</w:t>
      </w:r>
      <w:r>
        <w:t xml:space="preserve"> retained. </w:t>
      </w:r>
      <w:r w:rsidR="00011CBC">
        <w:t xml:space="preserve"> </w:t>
      </w:r>
      <w:r w:rsidR="00FD47B4">
        <w:t>T</w:t>
      </w:r>
      <w:r>
        <w:t xml:space="preserve">ransfers or withdrawals from the investment account(s) </w:t>
      </w:r>
      <w:r w:rsidR="007C6E8D">
        <w:t xml:space="preserve">that are consistent with a budget approved by the </w:t>
      </w:r>
      <w:r w:rsidR="006B6706">
        <w:t xml:space="preserve">Finance </w:t>
      </w:r>
      <w:r>
        <w:t xml:space="preserve">Committee </w:t>
      </w:r>
      <w:r w:rsidR="00960783">
        <w:t xml:space="preserve">and </w:t>
      </w:r>
      <w:r w:rsidR="000B1743">
        <w:t>Board</w:t>
      </w:r>
      <w:r w:rsidR="007C6E8D">
        <w:t xml:space="preserve"> require no additional approvals</w:t>
      </w:r>
      <w:r>
        <w:t xml:space="preserve">. </w:t>
      </w:r>
      <w:r w:rsidR="00011CBC">
        <w:t xml:space="preserve"> </w:t>
      </w:r>
      <w:r w:rsidR="00FD47B4">
        <w:t>No withdrawals can be mad</w:t>
      </w:r>
      <w:r w:rsidR="00960783">
        <w:t>e</w:t>
      </w:r>
      <w:r w:rsidR="00FD47B4">
        <w:t xml:space="preserve"> above the approved </w:t>
      </w:r>
      <w:r w:rsidR="00960783">
        <w:t xml:space="preserve">annual fiscal </w:t>
      </w:r>
      <w:r w:rsidR="00FD47B4">
        <w:t xml:space="preserve">budget amount without </w:t>
      </w:r>
      <w:r w:rsidR="00A51880">
        <w:t xml:space="preserve">the approval of the </w:t>
      </w:r>
      <w:r w:rsidR="00FD47B4">
        <w:t>Finance Committee and Board</w:t>
      </w:r>
      <w:r w:rsidR="000A3CCD">
        <w:t xml:space="preserve"> of Director</w:t>
      </w:r>
      <w:r w:rsidR="007063F0">
        <w:t>s</w:t>
      </w:r>
      <w:r w:rsidR="00FD47B4">
        <w:t xml:space="preserve">.  </w:t>
      </w:r>
      <w:r w:rsidR="00011CBC">
        <w:t>The</w:t>
      </w:r>
      <w:r w:rsidR="00116729">
        <w:t xml:space="preserve"> </w:t>
      </w:r>
      <w:r w:rsidR="00A51880">
        <w:t>Finance Director</w:t>
      </w:r>
      <w:r w:rsidR="00960783">
        <w:t xml:space="preserve"> </w:t>
      </w:r>
      <w:r w:rsidR="000A3CCD">
        <w:t>will</w:t>
      </w:r>
      <w:r w:rsidR="00A51880">
        <w:t>, with support from the Finance Committee,</w:t>
      </w:r>
      <w:r w:rsidR="000A3CCD">
        <w:t xml:space="preserve"> </w:t>
      </w:r>
      <w:r w:rsidR="00960783">
        <w:t>maintain</w:t>
      </w:r>
      <w:r>
        <w:t xml:space="preserve"> a system to monitor, file and review statements from the investment </w:t>
      </w:r>
      <w:r w:rsidR="00960783">
        <w:t xml:space="preserve">brokerage firms or </w:t>
      </w:r>
      <w:r w:rsidR="007063F0">
        <w:t>external manager</w:t>
      </w:r>
      <w:r>
        <w:t xml:space="preserve">. </w:t>
      </w:r>
      <w:r w:rsidR="00011CBC">
        <w:t xml:space="preserve"> </w:t>
      </w:r>
      <w:r w:rsidR="00960783">
        <w:t>He or s</w:t>
      </w:r>
      <w:r w:rsidR="00116729">
        <w:t>he should r</w:t>
      </w:r>
      <w:r>
        <w:t xml:space="preserve">egularly keep the Finance Committee informed </w:t>
      </w:r>
      <w:r w:rsidR="00266EAE">
        <w:t xml:space="preserve">as to the status of portfolio investments and deposit accounts. </w:t>
      </w:r>
      <w:r w:rsidR="00011CBC">
        <w:t xml:space="preserve"> </w:t>
      </w:r>
      <w:r w:rsidR="00960783">
        <w:t xml:space="preserve">He or </w:t>
      </w:r>
      <w:r w:rsidR="000A3CCD">
        <w:t>s</w:t>
      </w:r>
      <w:r w:rsidR="00960783">
        <w:t>he will</w:t>
      </w:r>
      <w:r w:rsidR="00266EAE">
        <w:t xml:space="preserve"> communicate any material changes to the Finance Committee </w:t>
      </w:r>
      <w:r w:rsidR="00262EC2">
        <w:t>immediat</w:t>
      </w:r>
      <w:r w:rsidR="00266EAE">
        <w:t>ely.</w:t>
      </w:r>
    </w:p>
    <w:p w14:paraId="0B7779D2" w14:textId="77777777" w:rsidR="00E43EA3" w:rsidRPr="00262EC2" w:rsidRDefault="00E43EA3" w:rsidP="00262EC2"/>
    <w:p w14:paraId="11709463" w14:textId="6DA6D261" w:rsidR="00266EAE" w:rsidRDefault="00BC2232" w:rsidP="00E43EA3">
      <w:pPr>
        <w:pStyle w:val="NoSpacing"/>
        <w:jc w:val="center"/>
        <w:rPr>
          <w:bCs/>
        </w:rPr>
      </w:pPr>
      <w:r>
        <w:rPr>
          <w:b/>
        </w:rPr>
        <w:t>Article VI</w:t>
      </w:r>
      <w:r w:rsidR="00E43EA3">
        <w:rPr>
          <w:b/>
        </w:rPr>
        <w:t xml:space="preserve"> - </w:t>
      </w:r>
      <w:r w:rsidR="00266EAE" w:rsidRPr="00266EAE">
        <w:rPr>
          <w:b/>
        </w:rPr>
        <w:t>Perfor</w:t>
      </w:r>
      <w:r w:rsidR="007063F0">
        <w:rPr>
          <w:b/>
        </w:rPr>
        <w:t>mance Objectives and Monitoring of Results</w:t>
      </w:r>
    </w:p>
    <w:p w14:paraId="136C87D1" w14:textId="77777777" w:rsidR="00E43EA3" w:rsidRPr="005334A3" w:rsidRDefault="00E43EA3" w:rsidP="005334A3">
      <w:pPr>
        <w:pStyle w:val="NoSpacing"/>
        <w:jc w:val="center"/>
        <w:rPr>
          <w:bCs/>
        </w:rPr>
      </w:pPr>
    </w:p>
    <w:p w14:paraId="26F962CC" w14:textId="09EAFD2C" w:rsidR="00266EAE" w:rsidRDefault="00266EAE" w:rsidP="00BC2232">
      <w:pPr>
        <w:pStyle w:val="ListParagraph"/>
        <w:numPr>
          <w:ilvl w:val="0"/>
          <w:numId w:val="15"/>
        </w:numPr>
      </w:pPr>
      <w:r>
        <w:t xml:space="preserve">Specific performance objectives provide a quantitative basis to judge the effectiveness of an investment program and are appropriate to facilitate ongoing review and evaluation of the total </w:t>
      </w:r>
      <w:r w:rsidR="000464B7">
        <w:t>Endowment Fund</w:t>
      </w:r>
      <w:r w:rsidR="008E3A75">
        <w:t>.  P</w:t>
      </w:r>
      <w:r>
        <w:t xml:space="preserve">erformance returns shall </w:t>
      </w:r>
      <w:r w:rsidR="00714702">
        <w:t xml:space="preserve">be </w:t>
      </w:r>
      <w:r>
        <w:t>evaluated</w:t>
      </w:r>
      <w:r w:rsidR="008E3A75">
        <w:t xml:space="preserve"> annually</w:t>
      </w:r>
      <w:r>
        <w:t xml:space="preserve"> to measure progress toward the attainment of </w:t>
      </w:r>
      <w:r w:rsidR="009C0818">
        <w:t>longer-term</w:t>
      </w:r>
      <w:r>
        <w:t xml:space="preserve"> goals. Portfolio performance is expected to </w:t>
      </w:r>
      <w:r w:rsidR="008E3A75">
        <w:t xml:space="preserve">match or </w:t>
      </w:r>
      <w:r>
        <w:t>outperform the rele</w:t>
      </w:r>
      <w:r w:rsidR="00714702">
        <w:t>vant market indices</w:t>
      </w:r>
      <w:r w:rsidR="008E3A75">
        <w:t xml:space="preserve"> or comparable endowments</w:t>
      </w:r>
      <w:r w:rsidR="00714702">
        <w:t xml:space="preserve"> over </w:t>
      </w:r>
      <w:r>
        <w:t xml:space="preserve">intermediate and </w:t>
      </w:r>
      <w:r w:rsidR="009C0818">
        <w:t>longer-term</w:t>
      </w:r>
      <w:r>
        <w:t xml:space="preserve"> time periods. However, it is understood that there are likely to be time periods during which performance deviates and even underperforms</w:t>
      </w:r>
      <w:r w:rsidR="008E3A75">
        <w:t xml:space="preserve"> benchmarks</w:t>
      </w:r>
      <w:r>
        <w:t xml:space="preserve">.  </w:t>
      </w:r>
      <w:r w:rsidR="002B4E3C">
        <w:t>Performance will be measured o</w:t>
      </w:r>
      <w:r w:rsidR="00714702">
        <w:t>n a total return</w:t>
      </w:r>
      <w:r w:rsidR="002B4E3C">
        <w:t xml:space="preserve"> </w:t>
      </w:r>
      <w:r w:rsidR="00396523">
        <w:t>basis</w:t>
      </w:r>
      <w:r w:rsidR="00714702">
        <w:t>, net of all fees</w:t>
      </w:r>
      <w:r w:rsidR="009F560B">
        <w:t>,</w:t>
      </w:r>
      <w:r w:rsidR="002B4E3C">
        <w:t xml:space="preserve"> </w:t>
      </w:r>
      <w:r w:rsidR="00B74595">
        <w:t>over</w:t>
      </w:r>
      <w:r w:rsidR="009F560B">
        <w:t xml:space="preserve"> </w:t>
      </w:r>
      <w:r w:rsidR="002B4E3C">
        <w:t xml:space="preserve">quarterly, annual, and </w:t>
      </w:r>
      <w:r w:rsidR="007063F0">
        <w:t>rolling</w:t>
      </w:r>
      <w:r w:rsidR="002B4E3C">
        <w:t xml:space="preserve"> </w:t>
      </w:r>
      <w:r w:rsidR="009C0818">
        <w:t>five-year</w:t>
      </w:r>
      <w:r w:rsidR="002B4E3C">
        <w:t xml:space="preserve"> periods</w:t>
      </w:r>
      <w:r w:rsidR="00714702">
        <w:t>.</w:t>
      </w:r>
    </w:p>
    <w:p w14:paraId="484FF4DD" w14:textId="44D7DA2E" w:rsidR="00347317" w:rsidRDefault="007063F0" w:rsidP="00BC2232">
      <w:pPr>
        <w:pStyle w:val="ListParagraph"/>
        <w:numPr>
          <w:ilvl w:val="0"/>
          <w:numId w:val="15"/>
        </w:numPr>
      </w:pPr>
      <w:r>
        <w:t xml:space="preserve">The deployment of both individually managed portfolios and total </w:t>
      </w:r>
      <w:r w:rsidR="00E86A9A">
        <w:t xml:space="preserve">Endowment </w:t>
      </w:r>
      <w:r>
        <w:t>Fund assets will be monitored for consistency of investment philosophy</w:t>
      </w:r>
      <w:r w:rsidR="00347317">
        <w:t>, return relative to objectives and investment risk as measured by asset concentration, exposure to extreme economic conditions, and market volatility.  In addition, the Finance Committee will regularly review the performance and practices of external managers to confirm that its expectations for each manager are being met.</w:t>
      </w:r>
    </w:p>
    <w:p w14:paraId="3E71AA70" w14:textId="7F06697D" w:rsidR="00714702" w:rsidRDefault="007063F0" w:rsidP="00BC2232">
      <w:pPr>
        <w:pStyle w:val="ListParagraph"/>
        <w:numPr>
          <w:ilvl w:val="0"/>
          <w:numId w:val="15"/>
        </w:numPr>
      </w:pPr>
      <w:r>
        <w:t xml:space="preserve">External managers </w:t>
      </w:r>
      <w:r w:rsidR="00347317">
        <w:t xml:space="preserve">will report </w:t>
      </w:r>
      <w:r w:rsidR="00727376">
        <w:t xml:space="preserve">to </w:t>
      </w:r>
      <w:r w:rsidR="00347317">
        <w:t xml:space="preserve">the </w:t>
      </w:r>
      <w:r w:rsidR="00727376">
        <w:t xml:space="preserve">Finance Committee </w:t>
      </w:r>
      <w:r w:rsidR="00347317">
        <w:t>at least quarterly</w:t>
      </w:r>
      <w:r w:rsidR="008716C7">
        <w:t xml:space="preserve">, including such information as the Finance Committee may reasonably request. Habitat anticipates that such information will include </w:t>
      </w:r>
      <w:r w:rsidR="00176843">
        <w:t xml:space="preserve">at least </w:t>
      </w:r>
      <w:r w:rsidR="008716C7">
        <w:t>the following</w:t>
      </w:r>
      <w:r w:rsidR="00347317">
        <w:t xml:space="preserve">: total return net of all commissions and fees; additions to and withdrawals from the account; current holdings at cost and at market, and purchases and sales for the quarter or year.  Regular written communications outlining the </w:t>
      </w:r>
      <w:r w:rsidR="00347317">
        <w:lastRenderedPageBreak/>
        <w:t xml:space="preserve">manager’s evolving investment strategy are also expected, and managers should be available for periodic consultation with the Finance Committee.  External </w:t>
      </w:r>
      <w:r w:rsidR="005F00B4">
        <w:t xml:space="preserve">managers </w:t>
      </w:r>
      <w:r w:rsidR="00347317">
        <w:t xml:space="preserve">are required to inform the </w:t>
      </w:r>
      <w:r w:rsidR="005F00B4">
        <w:t xml:space="preserve">Finance </w:t>
      </w:r>
      <w:r w:rsidR="00347317">
        <w:t>Committee of any material changes in firm ownership, organizational structure</w:t>
      </w:r>
      <w:r w:rsidR="005B0943">
        <w:t>, key personnel, account structure (</w:t>
      </w:r>
      <w:r w:rsidR="008D0FAE">
        <w:t>i.e.,</w:t>
      </w:r>
      <w:r w:rsidR="005B0943">
        <w:t xml:space="preserve"> number and size of accounts) and investment philosophy.</w:t>
      </w:r>
    </w:p>
    <w:p w14:paraId="7E93E356" w14:textId="0135B2DC" w:rsidR="00A52256" w:rsidRPr="006F2B97" w:rsidRDefault="00A52256" w:rsidP="00BC2232">
      <w:pPr>
        <w:pStyle w:val="ListParagraph"/>
        <w:numPr>
          <w:ilvl w:val="0"/>
          <w:numId w:val="15"/>
        </w:numPr>
      </w:pPr>
      <w:r>
        <w:t>The Finance Committee will provide a copy of this policy to any external investment manager</w:t>
      </w:r>
      <w:r w:rsidR="00E611E9">
        <w:t xml:space="preserve"> and require that each external investment manager acknowledge their receipt and understanding of the policy</w:t>
      </w:r>
      <w:r w:rsidR="00844AE5">
        <w:t xml:space="preserve"> in writing</w:t>
      </w:r>
      <w:r w:rsidR="00E611E9">
        <w:t xml:space="preserve">. </w:t>
      </w:r>
    </w:p>
    <w:p w14:paraId="5BE9CDD7" w14:textId="69BEE1DF" w:rsidR="00B92AED" w:rsidRPr="00714702" w:rsidRDefault="00B92AED" w:rsidP="00F5785E">
      <w:pPr>
        <w:tabs>
          <w:tab w:val="left" w:pos="5040"/>
        </w:tabs>
      </w:pPr>
    </w:p>
    <w:sectPr w:rsidR="00B92AED" w:rsidRPr="00714702" w:rsidSect="005334A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5D7D" w14:textId="77777777" w:rsidR="00E40531" w:rsidRDefault="00E40531" w:rsidP="00DD0224">
      <w:pPr>
        <w:spacing w:after="0" w:line="240" w:lineRule="auto"/>
      </w:pPr>
      <w:r>
        <w:separator/>
      </w:r>
    </w:p>
  </w:endnote>
  <w:endnote w:type="continuationSeparator" w:id="0">
    <w:p w14:paraId="56C056E2" w14:textId="77777777" w:rsidR="00E40531" w:rsidRDefault="00E40531" w:rsidP="00DD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596669"/>
      <w:docPartObj>
        <w:docPartGallery w:val="Page Numbers (Bottom of Page)"/>
        <w:docPartUnique/>
      </w:docPartObj>
    </w:sdtPr>
    <w:sdtContent>
      <w:p w14:paraId="060ED6B9" w14:textId="6AEDB447" w:rsidR="000B1743" w:rsidRDefault="000B1743" w:rsidP="001806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743738" w14:textId="77777777" w:rsidR="000B1743" w:rsidRDefault="000B1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0118276"/>
      <w:docPartObj>
        <w:docPartGallery w:val="Page Numbers (Bottom of Page)"/>
        <w:docPartUnique/>
      </w:docPartObj>
    </w:sdtPr>
    <w:sdtContent>
      <w:p w14:paraId="4E4AC681" w14:textId="523CD50F" w:rsidR="000B1743" w:rsidRDefault="000B1743" w:rsidP="001806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385471" w14:textId="77FE2806" w:rsidR="00347317" w:rsidRDefault="00347317">
    <w:pPr>
      <w:pStyle w:val="Footer"/>
      <w:pBdr>
        <w:top w:val="single" w:sz="4" w:space="1" w:color="D9D9D9" w:themeColor="background1" w:themeShade="D9"/>
      </w:pBdr>
      <w:rPr>
        <w:b/>
        <w:bCs/>
      </w:rPr>
    </w:pPr>
  </w:p>
  <w:p w14:paraId="2F0C62FF" w14:textId="77777777" w:rsidR="00347317" w:rsidRDefault="00347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F100" w14:textId="77777777" w:rsidR="00E40531" w:rsidRDefault="00E40531" w:rsidP="00DD0224">
      <w:pPr>
        <w:spacing w:after="0" w:line="240" w:lineRule="auto"/>
      </w:pPr>
      <w:r>
        <w:separator/>
      </w:r>
    </w:p>
  </w:footnote>
  <w:footnote w:type="continuationSeparator" w:id="0">
    <w:p w14:paraId="345E3D15" w14:textId="77777777" w:rsidR="00E40531" w:rsidRDefault="00E40531" w:rsidP="00DD0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B2"/>
    <w:multiLevelType w:val="hybridMultilevel"/>
    <w:tmpl w:val="BB3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E80"/>
    <w:multiLevelType w:val="hybridMultilevel"/>
    <w:tmpl w:val="8160C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A3294"/>
    <w:multiLevelType w:val="hybridMultilevel"/>
    <w:tmpl w:val="4DD8A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EC7C7D"/>
    <w:multiLevelType w:val="hybridMultilevel"/>
    <w:tmpl w:val="12801CB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6AFA"/>
    <w:multiLevelType w:val="hybridMultilevel"/>
    <w:tmpl w:val="ABB02C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E7955"/>
    <w:multiLevelType w:val="hybridMultilevel"/>
    <w:tmpl w:val="F07A36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10287"/>
    <w:multiLevelType w:val="hybridMultilevel"/>
    <w:tmpl w:val="521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029F1"/>
    <w:multiLevelType w:val="hybridMultilevel"/>
    <w:tmpl w:val="0808765C"/>
    <w:lvl w:ilvl="0" w:tplc="59EC195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60DA9"/>
    <w:multiLevelType w:val="hybridMultilevel"/>
    <w:tmpl w:val="A39AC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7A2F37"/>
    <w:multiLevelType w:val="hybridMultilevel"/>
    <w:tmpl w:val="311C760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D2D04"/>
    <w:multiLevelType w:val="hybridMultilevel"/>
    <w:tmpl w:val="7F3A6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300905"/>
    <w:multiLevelType w:val="hybridMultilevel"/>
    <w:tmpl w:val="52F293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921C0"/>
    <w:multiLevelType w:val="hybridMultilevel"/>
    <w:tmpl w:val="0DEE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3BF"/>
    <w:multiLevelType w:val="hybridMultilevel"/>
    <w:tmpl w:val="DDF244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319CF"/>
    <w:multiLevelType w:val="hybridMultilevel"/>
    <w:tmpl w:val="6354F098"/>
    <w:lvl w:ilvl="0" w:tplc="54DE2596">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B3A13"/>
    <w:multiLevelType w:val="hybridMultilevel"/>
    <w:tmpl w:val="42B45B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2244C"/>
    <w:multiLevelType w:val="hybridMultilevel"/>
    <w:tmpl w:val="86C0F0D8"/>
    <w:lvl w:ilvl="0" w:tplc="0F601D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825EC"/>
    <w:multiLevelType w:val="hybridMultilevel"/>
    <w:tmpl w:val="0090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445039"/>
    <w:multiLevelType w:val="hybridMultilevel"/>
    <w:tmpl w:val="D51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26818">
    <w:abstractNumId w:val="12"/>
  </w:num>
  <w:num w:numId="2" w16cid:durableId="10568978">
    <w:abstractNumId w:val="6"/>
  </w:num>
  <w:num w:numId="3" w16cid:durableId="904996900">
    <w:abstractNumId w:val="18"/>
  </w:num>
  <w:num w:numId="4" w16cid:durableId="39404877">
    <w:abstractNumId w:val="0"/>
  </w:num>
  <w:num w:numId="5" w16cid:durableId="528615614">
    <w:abstractNumId w:val="8"/>
  </w:num>
  <w:num w:numId="6" w16cid:durableId="858785034">
    <w:abstractNumId w:val="17"/>
  </w:num>
  <w:num w:numId="7" w16cid:durableId="1887833513">
    <w:abstractNumId w:val="2"/>
  </w:num>
  <w:num w:numId="8" w16cid:durableId="903414771">
    <w:abstractNumId w:val="3"/>
  </w:num>
  <w:num w:numId="9" w16cid:durableId="954677314">
    <w:abstractNumId w:val="5"/>
  </w:num>
  <w:num w:numId="10" w16cid:durableId="117915393">
    <w:abstractNumId w:val="4"/>
  </w:num>
  <w:num w:numId="11" w16cid:durableId="1846479209">
    <w:abstractNumId w:val="15"/>
  </w:num>
  <w:num w:numId="12" w16cid:durableId="992873845">
    <w:abstractNumId w:val="9"/>
  </w:num>
  <w:num w:numId="13" w16cid:durableId="114646101">
    <w:abstractNumId w:val="14"/>
  </w:num>
  <w:num w:numId="14" w16cid:durableId="1080105362">
    <w:abstractNumId w:val="11"/>
  </w:num>
  <w:num w:numId="15" w16cid:durableId="1287391231">
    <w:abstractNumId w:val="13"/>
  </w:num>
  <w:num w:numId="16" w16cid:durableId="328991166">
    <w:abstractNumId w:val="1"/>
  </w:num>
  <w:num w:numId="17" w16cid:durableId="1688360347">
    <w:abstractNumId w:val="16"/>
  </w:num>
  <w:num w:numId="18" w16cid:durableId="555822030">
    <w:abstractNumId w:val="10"/>
  </w:num>
  <w:num w:numId="19" w16cid:durableId="1150824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17"/>
    <w:rsid w:val="00011CBC"/>
    <w:rsid w:val="000153B7"/>
    <w:rsid w:val="0003344D"/>
    <w:rsid w:val="00035D50"/>
    <w:rsid w:val="000425F5"/>
    <w:rsid w:val="000464B7"/>
    <w:rsid w:val="00080651"/>
    <w:rsid w:val="00090187"/>
    <w:rsid w:val="000903E4"/>
    <w:rsid w:val="00091C28"/>
    <w:rsid w:val="000A3CCD"/>
    <w:rsid w:val="000A3ED9"/>
    <w:rsid w:val="000A52CB"/>
    <w:rsid w:val="000A75DE"/>
    <w:rsid w:val="000B1743"/>
    <w:rsid w:val="000C4F14"/>
    <w:rsid w:val="000D3CDD"/>
    <w:rsid w:val="000E19BA"/>
    <w:rsid w:val="000E47F5"/>
    <w:rsid w:val="000E7EEE"/>
    <w:rsid w:val="000F1C35"/>
    <w:rsid w:val="000F341D"/>
    <w:rsid w:val="001147A6"/>
    <w:rsid w:val="001149D8"/>
    <w:rsid w:val="00116729"/>
    <w:rsid w:val="0012590E"/>
    <w:rsid w:val="001330E6"/>
    <w:rsid w:val="0013437F"/>
    <w:rsid w:val="00136617"/>
    <w:rsid w:val="00137372"/>
    <w:rsid w:val="00144116"/>
    <w:rsid w:val="001532D6"/>
    <w:rsid w:val="0016318B"/>
    <w:rsid w:val="0017151F"/>
    <w:rsid w:val="0017642A"/>
    <w:rsid w:val="00176843"/>
    <w:rsid w:val="0018030C"/>
    <w:rsid w:val="001C0E17"/>
    <w:rsid w:val="001E584D"/>
    <w:rsid w:val="001E7AFE"/>
    <w:rsid w:val="001F69E2"/>
    <w:rsid w:val="00212810"/>
    <w:rsid w:val="00226CFB"/>
    <w:rsid w:val="00230CEB"/>
    <w:rsid w:val="00235608"/>
    <w:rsid w:val="002439BE"/>
    <w:rsid w:val="00245F6F"/>
    <w:rsid w:val="00250F42"/>
    <w:rsid w:val="0026260E"/>
    <w:rsid w:val="00262EC2"/>
    <w:rsid w:val="00265B1B"/>
    <w:rsid w:val="00266EAE"/>
    <w:rsid w:val="00267242"/>
    <w:rsid w:val="00274E70"/>
    <w:rsid w:val="002A0F78"/>
    <w:rsid w:val="002A1D17"/>
    <w:rsid w:val="002A3523"/>
    <w:rsid w:val="002B4E3C"/>
    <w:rsid w:val="002C0CE8"/>
    <w:rsid w:val="002C7FFE"/>
    <w:rsid w:val="002D6F41"/>
    <w:rsid w:val="002E70FA"/>
    <w:rsid w:val="003169A4"/>
    <w:rsid w:val="00333105"/>
    <w:rsid w:val="00334B9D"/>
    <w:rsid w:val="00347317"/>
    <w:rsid w:val="003545DC"/>
    <w:rsid w:val="00364017"/>
    <w:rsid w:val="00370C93"/>
    <w:rsid w:val="003713E4"/>
    <w:rsid w:val="003720F7"/>
    <w:rsid w:val="003862DF"/>
    <w:rsid w:val="00396523"/>
    <w:rsid w:val="003B15F9"/>
    <w:rsid w:val="003B225E"/>
    <w:rsid w:val="003B393A"/>
    <w:rsid w:val="003C47DC"/>
    <w:rsid w:val="003D039E"/>
    <w:rsid w:val="003E7FD9"/>
    <w:rsid w:val="003F4310"/>
    <w:rsid w:val="003F7963"/>
    <w:rsid w:val="004031C9"/>
    <w:rsid w:val="00433DA8"/>
    <w:rsid w:val="00435258"/>
    <w:rsid w:val="00440C67"/>
    <w:rsid w:val="00452953"/>
    <w:rsid w:val="00456121"/>
    <w:rsid w:val="004644E6"/>
    <w:rsid w:val="004658A5"/>
    <w:rsid w:val="0047420B"/>
    <w:rsid w:val="004836B5"/>
    <w:rsid w:val="00490744"/>
    <w:rsid w:val="004A0030"/>
    <w:rsid w:val="004A381D"/>
    <w:rsid w:val="004A7B98"/>
    <w:rsid w:val="004B502C"/>
    <w:rsid w:val="004B54BE"/>
    <w:rsid w:val="004C5904"/>
    <w:rsid w:val="004C5ACD"/>
    <w:rsid w:val="004F2B69"/>
    <w:rsid w:val="004F4812"/>
    <w:rsid w:val="004F7961"/>
    <w:rsid w:val="00503CA8"/>
    <w:rsid w:val="0051790B"/>
    <w:rsid w:val="00524B86"/>
    <w:rsid w:val="005334A3"/>
    <w:rsid w:val="00550F71"/>
    <w:rsid w:val="00553A74"/>
    <w:rsid w:val="005607EC"/>
    <w:rsid w:val="0056570E"/>
    <w:rsid w:val="00571470"/>
    <w:rsid w:val="0058285A"/>
    <w:rsid w:val="00594150"/>
    <w:rsid w:val="00596743"/>
    <w:rsid w:val="00597B84"/>
    <w:rsid w:val="005A23AA"/>
    <w:rsid w:val="005A480C"/>
    <w:rsid w:val="005A5819"/>
    <w:rsid w:val="005A7B6E"/>
    <w:rsid w:val="005B0943"/>
    <w:rsid w:val="005B2708"/>
    <w:rsid w:val="005C7FD9"/>
    <w:rsid w:val="005E4290"/>
    <w:rsid w:val="005E4A0C"/>
    <w:rsid w:val="005F00B4"/>
    <w:rsid w:val="005F0F88"/>
    <w:rsid w:val="00602EB3"/>
    <w:rsid w:val="00617C3C"/>
    <w:rsid w:val="00620DC5"/>
    <w:rsid w:val="00621121"/>
    <w:rsid w:val="0062720A"/>
    <w:rsid w:val="00664801"/>
    <w:rsid w:val="00666D55"/>
    <w:rsid w:val="006752B0"/>
    <w:rsid w:val="00676A60"/>
    <w:rsid w:val="00680153"/>
    <w:rsid w:val="0068082D"/>
    <w:rsid w:val="006849DD"/>
    <w:rsid w:val="00693DBA"/>
    <w:rsid w:val="006942C9"/>
    <w:rsid w:val="00694749"/>
    <w:rsid w:val="006A6FE5"/>
    <w:rsid w:val="006B360D"/>
    <w:rsid w:val="006B6706"/>
    <w:rsid w:val="006C6F46"/>
    <w:rsid w:val="006D3534"/>
    <w:rsid w:val="006D3691"/>
    <w:rsid w:val="006E340F"/>
    <w:rsid w:val="006E3EF5"/>
    <w:rsid w:val="006E746C"/>
    <w:rsid w:val="006F2B97"/>
    <w:rsid w:val="007039AE"/>
    <w:rsid w:val="007063F0"/>
    <w:rsid w:val="007067D7"/>
    <w:rsid w:val="00714702"/>
    <w:rsid w:val="00727376"/>
    <w:rsid w:val="00737831"/>
    <w:rsid w:val="007479C3"/>
    <w:rsid w:val="0075347A"/>
    <w:rsid w:val="007632E9"/>
    <w:rsid w:val="00780427"/>
    <w:rsid w:val="007851EE"/>
    <w:rsid w:val="00785790"/>
    <w:rsid w:val="00792EC9"/>
    <w:rsid w:val="007A0B57"/>
    <w:rsid w:val="007A71C3"/>
    <w:rsid w:val="007B15FA"/>
    <w:rsid w:val="007C4339"/>
    <w:rsid w:val="007C6E8D"/>
    <w:rsid w:val="007D1829"/>
    <w:rsid w:val="007D59C4"/>
    <w:rsid w:val="007E1226"/>
    <w:rsid w:val="00800F69"/>
    <w:rsid w:val="00801AEF"/>
    <w:rsid w:val="00806A0B"/>
    <w:rsid w:val="008237EC"/>
    <w:rsid w:val="008435EE"/>
    <w:rsid w:val="00844AE5"/>
    <w:rsid w:val="00846196"/>
    <w:rsid w:val="00852924"/>
    <w:rsid w:val="0086452A"/>
    <w:rsid w:val="00865CF3"/>
    <w:rsid w:val="008716C7"/>
    <w:rsid w:val="00872A7D"/>
    <w:rsid w:val="00875F33"/>
    <w:rsid w:val="00882D77"/>
    <w:rsid w:val="00882E34"/>
    <w:rsid w:val="008852DF"/>
    <w:rsid w:val="008A553A"/>
    <w:rsid w:val="008A5E34"/>
    <w:rsid w:val="008A6546"/>
    <w:rsid w:val="008A694B"/>
    <w:rsid w:val="008A771D"/>
    <w:rsid w:val="008B18E8"/>
    <w:rsid w:val="008B639E"/>
    <w:rsid w:val="008B75CF"/>
    <w:rsid w:val="008C15C7"/>
    <w:rsid w:val="008D0E0B"/>
    <w:rsid w:val="008D0FAE"/>
    <w:rsid w:val="008D2419"/>
    <w:rsid w:val="008D55BE"/>
    <w:rsid w:val="008E3A75"/>
    <w:rsid w:val="0090690B"/>
    <w:rsid w:val="00920611"/>
    <w:rsid w:val="00932BC3"/>
    <w:rsid w:val="00935E74"/>
    <w:rsid w:val="00936A2F"/>
    <w:rsid w:val="0095489C"/>
    <w:rsid w:val="00960783"/>
    <w:rsid w:val="009611AB"/>
    <w:rsid w:val="0097134F"/>
    <w:rsid w:val="009901CB"/>
    <w:rsid w:val="009916A2"/>
    <w:rsid w:val="00991B00"/>
    <w:rsid w:val="009A3DD0"/>
    <w:rsid w:val="009C0818"/>
    <w:rsid w:val="009D0B67"/>
    <w:rsid w:val="009F560B"/>
    <w:rsid w:val="009F6C8B"/>
    <w:rsid w:val="00A071C4"/>
    <w:rsid w:val="00A10235"/>
    <w:rsid w:val="00A203BA"/>
    <w:rsid w:val="00A2528C"/>
    <w:rsid w:val="00A26CB8"/>
    <w:rsid w:val="00A26EC5"/>
    <w:rsid w:val="00A270BF"/>
    <w:rsid w:val="00A317F1"/>
    <w:rsid w:val="00A3431A"/>
    <w:rsid w:val="00A404E2"/>
    <w:rsid w:val="00A51880"/>
    <w:rsid w:val="00A52256"/>
    <w:rsid w:val="00A7008F"/>
    <w:rsid w:val="00A706EA"/>
    <w:rsid w:val="00A846A7"/>
    <w:rsid w:val="00A96DC3"/>
    <w:rsid w:val="00AA1B73"/>
    <w:rsid w:val="00AA2F61"/>
    <w:rsid w:val="00AA4E86"/>
    <w:rsid w:val="00AA51AB"/>
    <w:rsid w:val="00AB1150"/>
    <w:rsid w:val="00AB3EF9"/>
    <w:rsid w:val="00AD78F5"/>
    <w:rsid w:val="00B05766"/>
    <w:rsid w:val="00B0632C"/>
    <w:rsid w:val="00B1299E"/>
    <w:rsid w:val="00B12C0B"/>
    <w:rsid w:val="00B30755"/>
    <w:rsid w:val="00B44731"/>
    <w:rsid w:val="00B56C39"/>
    <w:rsid w:val="00B620A0"/>
    <w:rsid w:val="00B74595"/>
    <w:rsid w:val="00B80191"/>
    <w:rsid w:val="00B92AED"/>
    <w:rsid w:val="00B94E43"/>
    <w:rsid w:val="00BA74E9"/>
    <w:rsid w:val="00BA766F"/>
    <w:rsid w:val="00BC2232"/>
    <w:rsid w:val="00BC29BB"/>
    <w:rsid w:val="00BC32EB"/>
    <w:rsid w:val="00BC619F"/>
    <w:rsid w:val="00BD5D41"/>
    <w:rsid w:val="00BE2654"/>
    <w:rsid w:val="00BF06BD"/>
    <w:rsid w:val="00C061A1"/>
    <w:rsid w:val="00C11D73"/>
    <w:rsid w:val="00C14572"/>
    <w:rsid w:val="00C232E1"/>
    <w:rsid w:val="00C31A5B"/>
    <w:rsid w:val="00C361BD"/>
    <w:rsid w:val="00C365BA"/>
    <w:rsid w:val="00C40CF4"/>
    <w:rsid w:val="00C4202D"/>
    <w:rsid w:val="00C436D3"/>
    <w:rsid w:val="00C45E68"/>
    <w:rsid w:val="00C52A2B"/>
    <w:rsid w:val="00C55043"/>
    <w:rsid w:val="00C55D17"/>
    <w:rsid w:val="00C80308"/>
    <w:rsid w:val="00C90D58"/>
    <w:rsid w:val="00C96FFC"/>
    <w:rsid w:val="00C97DD1"/>
    <w:rsid w:val="00CB57CF"/>
    <w:rsid w:val="00CC03E3"/>
    <w:rsid w:val="00CD3429"/>
    <w:rsid w:val="00CD6F03"/>
    <w:rsid w:val="00CE32A3"/>
    <w:rsid w:val="00CF0D51"/>
    <w:rsid w:val="00CF1129"/>
    <w:rsid w:val="00D03E3F"/>
    <w:rsid w:val="00D1326A"/>
    <w:rsid w:val="00D20FD0"/>
    <w:rsid w:val="00D34780"/>
    <w:rsid w:val="00D406D0"/>
    <w:rsid w:val="00D50574"/>
    <w:rsid w:val="00D560F9"/>
    <w:rsid w:val="00D5780B"/>
    <w:rsid w:val="00D67388"/>
    <w:rsid w:val="00D70C23"/>
    <w:rsid w:val="00D74715"/>
    <w:rsid w:val="00D91605"/>
    <w:rsid w:val="00D960E4"/>
    <w:rsid w:val="00DA0A61"/>
    <w:rsid w:val="00DA429D"/>
    <w:rsid w:val="00DC19E5"/>
    <w:rsid w:val="00DC2E50"/>
    <w:rsid w:val="00DD0224"/>
    <w:rsid w:val="00DD0A97"/>
    <w:rsid w:val="00DE1CC3"/>
    <w:rsid w:val="00DE56A6"/>
    <w:rsid w:val="00E047E6"/>
    <w:rsid w:val="00E1024B"/>
    <w:rsid w:val="00E30E2B"/>
    <w:rsid w:val="00E317D4"/>
    <w:rsid w:val="00E40269"/>
    <w:rsid w:val="00E40531"/>
    <w:rsid w:val="00E43EA3"/>
    <w:rsid w:val="00E47C86"/>
    <w:rsid w:val="00E558B3"/>
    <w:rsid w:val="00E56616"/>
    <w:rsid w:val="00E611E9"/>
    <w:rsid w:val="00E710C0"/>
    <w:rsid w:val="00E86A9A"/>
    <w:rsid w:val="00E94337"/>
    <w:rsid w:val="00EA0FBE"/>
    <w:rsid w:val="00EC6961"/>
    <w:rsid w:val="00EE38A3"/>
    <w:rsid w:val="00EF5145"/>
    <w:rsid w:val="00EF57DF"/>
    <w:rsid w:val="00EF7588"/>
    <w:rsid w:val="00F06864"/>
    <w:rsid w:val="00F06D80"/>
    <w:rsid w:val="00F10A58"/>
    <w:rsid w:val="00F15B71"/>
    <w:rsid w:val="00F16B1A"/>
    <w:rsid w:val="00F25E21"/>
    <w:rsid w:val="00F310A3"/>
    <w:rsid w:val="00F32F75"/>
    <w:rsid w:val="00F33941"/>
    <w:rsid w:val="00F35817"/>
    <w:rsid w:val="00F447C5"/>
    <w:rsid w:val="00F50649"/>
    <w:rsid w:val="00F50B91"/>
    <w:rsid w:val="00F54616"/>
    <w:rsid w:val="00F56E57"/>
    <w:rsid w:val="00F5785E"/>
    <w:rsid w:val="00F601B7"/>
    <w:rsid w:val="00F62980"/>
    <w:rsid w:val="00F64B25"/>
    <w:rsid w:val="00F8063F"/>
    <w:rsid w:val="00F83B3C"/>
    <w:rsid w:val="00F8789A"/>
    <w:rsid w:val="00FA19BA"/>
    <w:rsid w:val="00FB0C21"/>
    <w:rsid w:val="00FB7294"/>
    <w:rsid w:val="00FD020E"/>
    <w:rsid w:val="00FD1531"/>
    <w:rsid w:val="00FD47B4"/>
    <w:rsid w:val="00FD5106"/>
    <w:rsid w:val="00FE0F6B"/>
    <w:rsid w:val="00FE58C9"/>
    <w:rsid w:val="00FE7B18"/>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9F1A"/>
  <w15:docId w15:val="{67EDB297-A900-4BC5-B799-877738DD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17"/>
    <w:pPr>
      <w:ind w:left="720"/>
      <w:contextualSpacing/>
    </w:pPr>
  </w:style>
  <w:style w:type="table" w:styleId="TableGrid">
    <w:name w:val="Table Grid"/>
    <w:basedOn w:val="TableNormal"/>
    <w:uiPriority w:val="59"/>
    <w:rsid w:val="0022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24"/>
  </w:style>
  <w:style w:type="paragraph" w:styleId="Footer">
    <w:name w:val="footer"/>
    <w:basedOn w:val="Normal"/>
    <w:link w:val="FooterChar"/>
    <w:uiPriority w:val="99"/>
    <w:unhideWhenUsed/>
    <w:rsid w:val="00DD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24"/>
  </w:style>
  <w:style w:type="paragraph" w:styleId="BalloonText">
    <w:name w:val="Balloon Text"/>
    <w:basedOn w:val="Normal"/>
    <w:link w:val="BalloonTextChar"/>
    <w:uiPriority w:val="99"/>
    <w:semiHidden/>
    <w:unhideWhenUsed/>
    <w:rsid w:val="008D0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0B"/>
    <w:rPr>
      <w:rFonts w:ascii="Tahoma" w:hAnsi="Tahoma" w:cs="Tahoma"/>
      <w:sz w:val="16"/>
      <w:szCs w:val="16"/>
    </w:rPr>
  </w:style>
  <w:style w:type="paragraph" w:styleId="NoSpacing">
    <w:name w:val="No Spacing"/>
    <w:uiPriority w:val="1"/>
    <w:qFormat/>
    <w:rsid w:val="00BE2654"/>
    <w:pPr>
      <w:spacing w:after="0" w:line="240" w:lineRule="auto"/>
    </w:pPr>
  </w:style>
  <w:style w:type="character" w:styleId="CommentReference">
    <w:name w:val="annotation reference"/>
    <w:basedOn w:val="DefaultParagraphFont"/>
    <w:uiPriority w:val="99"/>
    <w:semiHidden/>
    <w:unhideWhenUsed/>
    <w:rsid w:val="006942C9"/>
    <w:rPr>
      <w:sz w:val="16"/>
      <w:szCs w:val="16"/>
    </w:rPr>
  </w:style>
  <w:style w:type="paragraph" w:styleId="CommentText">
    <w:name w:val="annotation text"/>
    <w:basedOn w:val="Normal"/>
    <w:link w:val="CommentTextChar"/>
    <w:uiPriority w:val="99"/>
    <w:semiHidden/>
    <w:unhideWhenUsed/>
    <w:rsid w:val="006942C9"/>
    <w:pPr>
      <w:spacing w:line="240" w:lineRule="auto"/>
    </w:pPr>
    <w:rPr>
      <w:sz w:val="20"/>
      <w:szCs w:val="20"/>
    </w:rPr>
  </w:style>
  <w:style w:type="character" w:customStyle="1" w:styleId="CommentTextChar">
    <w:name w:val="Comment Text Char"/>
    <w:basedOn w:val="DefaultParagraphFont"/>
    <w:link w:val="CommentText"/>
    <w:uiPriority w:val="99"/>
    <w:semiHidden/>
    <w:rsid w:val="006942C9"/>
    <w:rPr>
      <w:sz w:val="20"/>
      <w:szCs w:val="20"/>
    </w:rPr>
  </w:style>
  <w:style w:type="paragraph" w:styleId="CommentSubject">
    <w:name w:val="annotation subject"/>
    <w:basedOn w:val="CommentText"/>
    <w:next w:val="CommentText"/>
    <w:link w:val="CommentSubjectChar"/>
    <w:uiPriority w:val="99"/>
    <w:semiHidden/>
    <w:unhideWhenUsed/>
    <w:rsid w:val="006942C9"/>
    <w:rPr>
      <w:b/>
      <w:bCs/>
    </w:rPr>
  </w:style>
  <w:style w:type="character" w:customStyle="1" w:styleId="CommentSubjectChar">
    <w:name w:val="Comment Subject Char"/>
    <w:basedOn w:val="CommentTextChar"/>
    <w:link w:val="CommentSubject"/>
    <w:uiPriority w:val="99"/>
    <w:semiHidden/>
    <w:rsid w:val="006942C9"/>
    <w:rPr>
      <w:b/>
      <w:bCs/>
      <w:sz w:val="20"/>
      <w:szCs w:val="20"/>
    </w:rPr>
  </w:style>
  <w:style w:type="paragraph" w:styleId="Revision">
    <w:name w:val="Revision"/>
    <w:hidden/>
    <w:uiPriority w:val="99"/>
    <w:semiHidden/>
    <w:rsid w:val="000903E4"/>
    <w:pPr>
      <w:spacing w:after="0" w:line="240" w:lineRule="auto"/>
    </w:pPr>
  </w:style>
  <w:style w:type="character" w:styleId="PageNumber">
    <w:name w:val="page number"/>
    <w:basedOn w:val="DefaultParagraphFont"/>
    <w:uiPriority w:val="99"/>
    <w:semiHidden/>
    <w:unhideWhenUsed/>
    <w:rsid w:val="000B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B65B0-52E4-485B-A3E1-C0119363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Wells Fargo Bank</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Geoghegan</dc:creator>
  <cp:lastModifiedBy>Mitzi Gellman</cp:lastModifiedBy>
  <cp:revision>2</cp:revision>
  <cp:lastPrinted>2020-10-06T18:13:00Z</cp:lastPrinted>
  <dcterms:created xsi:type="dcterms:W3CDTF">2022-09-22T18:03:00Z</dcterms:created>
  <dcterms:modified xsi:type="dcterms:W3CDTF">2022-09-22T18:03:00Z</dcterms:modified>
</cp:coreProperties>
</file>