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9630"/>
      </w:tblGrid>
      <w:tr w:rsidR="006942FA" w14:paraId="0F70FC69" w14:textId="77777777" w:rsidTr="00FF1588">
        <w:tc>
          <w:tcPr>
            <w:tcW w:w="9630" w:type="dxa"/>
          </w:tcPr>
          <w:p w14:paraId="31406BB6" w14:textId="337CCC0D" w:rsidR="006942FA" w:rsidRDefault="00FF1588" w:rsidP="00011C9A">
            <w:pPr>
              <w:jc w:val="center"/>
            </w:pPr>
            <w:r>
              <w:t>20</w:t>
            </w:r>
            <w:r w:rsidR="00F95CD6">
              <w:t>20</w:t>
            </w:r>
            <w:r>
              <w:t xml:space="preserve"> -202</w:t>
            </w:r>
            <w:r w:rsidR="00F95CD6">
              <w:t>1</w:t>
            </w:r>
            <w:r>
              <w:t xml:space="preserve"> Income and Expenses (Proposed Budget)</w:t>
            </w:r>
          </w:p>
        </w:tc>
      </w:tr>
    </w:tbl>
    <w:p w14:paraId="7C901312" w14:textId="5ED434FE" w:rsidR="006942FA" w:rsidRDefault="006942FA" w:rsidP="00011C9A">
      <w:pPr>
        <w:jc w:val="center"/>
      </w:pPr>
      <w:r>
        <w:rPr>
          <w:noProof/>
        </w:rPr>
        <w:drawing>
          <wp:inline distT="0" distB="0" distL="0" distR="0" wp14:anchorId="0E01DAB4" wp14:editId="22F6A02F">
            <wp:extent cx="6102350" cy="3543300"/>
            <wp:effectExtent l="0" t="0" r="1270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C0576CD" w14:textId="306B9584" w:rsidR="006942FA" w:rsidRDefault="006942FA"/>
    <w:p w14:paraId="48BE2EA4" w14:textId="5D25D39B" w:rsidR="00E132FC" w:rsidRDefault="00E132FC" w:rsidP="00011C9A">
      <w:pPr>
        <w:jc w:val="center"/>
      </w:pPr>
      <w:r>
        <w:rPr>
          <w:noProof/>
        </w:rPr>
        <w:drawing>
          <wp:inline distT="0" distB="0" distL="0" distR="0" wp14:anchorId="678E75A6" wp14:editId="5095C703">
            <wp:extent cx="6121400" cy="3956050"/>
            <wp:effectExtent l="0" t="0" r="12700" b="63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CDE390B" w14:textId="3A774F22" w:rsidR="00011C9A" w:rsidRDefault="00011C9A" w:rsidP="00011C9A">
      <w:pPr>
        <w:jc w:val="center"/>
        <w:rPr>
          <w:b/>
          <w:sz w:val="28"/>
          <w:szCs w:val="28"/>
        </w:rPr>
      </w:pPr>
      <w:r w:rsidRPr="00011C9A">
        <w:rPr>
          <w:b/>
          <w:sz w:val="28"/>
          <w:szCs w:val="28"/>
        </w:rPr>
        <w:lastRenderedPageBreak/>
        <w:t>20</w:t>
      </w:r>
      <w:r w:rsidR="003F3806">
        <w:rPr>
          <w:b/>
          <w:sz w:val="28"/>
          <w:szCs w:val="28"/>
        </w:rPr>
        <w:t>20</w:t>
      </w:r>
      <w:r w:rsidRPr="00011C9A">
        <w:rPr>
          <w:b/>
          <w:sz w:val="28"/>
          <w:szCs w:val="28"/>
        </w:rPr>
        <w:t xml:space="preserve"> – 202</w:t>
      </w:r>
      <w:r w:rsidR="003F3806">
        <w:rPr>
          <w:b/>
          <w:sz w:val="28"/>
          <w:szCs w:val="28"/>
        </w:rPr>
        <w:t>1</w:t>
      </w:r>
      <w:r w:rsidRPr="00011C9A">
        <w:rPr>
          <w:b/>
          <w:sz w:val="28"/>
          <w:szCs w:val="28"/>
        </w:rPr>
        <w:t xml:space="preserve"> Budget Summary</w:t>
      </w:r>
    </w:p>
    <w:p w14:paraId="0FA2B0AF" w14:textId="62BB557E" w:rsidR="00011C9A" w:rsidRDefault="00863664" w:rsidP="00011C9A">
      <w:pPr>
        <w:rPr>
          <w:sz w:val="24"/>
          <w:szCs w:val="24"/>
        </w:rPr>
      </w:pPr>
      <w:r w:rsidRPr="00863664">
        <w:rPr>
          <w:b/>
          <w:bCs/>
          <w:sz w:val="24"/>
          <w:szCs w:val="24"/>
        </w:rPr>
        <w:t>Overview:</w:t>
      </w:r>
    </w:p>
    <w:p w14:paraId="5A769262" w14:textId="1257F212" w:rsidR="00011C9A" w:rsidRDefault="00011C9A" w:rsidP="00011C9A">
      <w:pPr>
        <w:rPr>
          <w:sz w:val="24"/>
          <w:szCs w:val="24"/>
        </w:rPr>
      </w:pPr>
      <w:r>
        <w:rPr>
          <w:sz w:val="24"/>
          <w:szCs w:val="24"/>
        </w:rPr>
        <w:t>Welcome to the overview of the 20</w:t>
      </w:r>
      <w:r w:rsidR="003F3806">
        <w:rPr>
          <w:sz w:val="24"/>
          <w:szCs w:val="24"/>
        </w:rPr>
        <w:t>20</w:t>
      </w:r>
      <w:r>
        <w:rPr>
          <w:sz w:val="24"/>
          <w:szCs w:val="24"/>
        </w:rPr>
        <w:t xml:space="preserve"> – 202</w:t>
      </w:r>
      <w:r w:rsidR="003F3806">
        <w:rPr>
          <w:sz w:val="24"/>
          <w:szCs w:val="24"/>
        </w:rPr>
        <w:t xml:space="preserve">1 </w:t>
      </w:r>
      <w:r>
        <w:rPr>
          <w:sz w:val="24"/>
          <w:szCs w:val="24"/>
        </w:rPr>
        <w:t>Habitat for Humanity of Catawba Valley Budget.</w:t>
      </w:r>
    </w:p>
    <w:p w14:paraId="1A164B6C" w14:textId="372AE183" w:rsidR="003F3806" w:rsidRDefault="006A6B21" w:rsidP="006A6B21">
      <w:pPr>
        <w:tabs>
          <w:tab w:val="left" w:pos="761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I’m</w:t>
      </w:r>
      <w:proofErr w:type="gramEnd"/>
      <w:r>
        <w:rPr>
          <w:sz w:val="24"/>
          <w:szCs w:val="24"/>
        </w:rPr>
        <w:t xml:space="preserve"> not going to kid you, budgeting during a Pandemic is challenging. There are so</w:t>
      </w:r>
      <w:r w:rsidR="00371CA0">
        <w:rPr>
          <w:sz w:val="24"/>
          <w:szCs w:val="24"/>
        </w:rPr>
        <w:t xml:space="preserve"> many possible variables: will the ReStore be open or will there be another Phase 1 restriction</w:t>
      </w:r>
      <w:r w:rsidR="0030653B">
        <w:rPr>
          <w:sz w:val="24"/>
          <w:szCs w:val="24"/>
        </w:rPr>
        <w:t xml:space="preserve"> that forces us to close again</w:t>
      </w:r>
      <w:r w:rsidR="00371CA0">
        <w:rPr>
          <w:sz w:val="24"/>
          <w:szCs w:val="24"/>
        </w:rPr>
        <w:t xml:space="preserve">; how will donations be effect and primarily how will Home is the Key be impacted; will we be able to sell market rate homes </w:t>
      </w:r>
      <w:r w:rsidR="001F67E4">
        <w:rPr>
          <w:sz w:val="24"/>
          <w:szCs w:val="24"/>
        </w:rPr>
        <w:t>in the current economy?</w:t>
      </w:r>
    </w:p>
    <w:p w14:paraId="3BB81DDF" w14:textId="47CBB63D" w:rsidR="001F67E4" w:rsidRDefault="001F67E4" w:rsidP="006A6B21">
      <w:pPr>
        <w:tabs>
          <w:tab w:val="left" w:pos="7613"/>
        </w:tabs>
        <w:rPr>
          <w:sz w:val="24"/>
          <w:szCs w:val="24"/>
        </w:rPr>
      </w:pPr>
      <w:r>
        <w:rPr>
          <w:sz w:val="24"/>
          <w:szCs w:val="24"/>
        </w:rPr>
        <w:t xml:space="preserve">Despite the uncertainty, I feel confident with the numbers presented in the proposed budget. There are several factors that are encouraging: ReStore </w:t>
      </w:r>
      <w:r w:rsidR="00863664">
        <w:rPr>
          <w:sz w:val="24"/>
          <w:szCs w:val="24"/>
        </w:rPr>
        <w:t xml:space="preserve">in-person </w:t>
      </w:r>
      <w:r>
        <w:rPr>
          <w:sz w:val="24"/>
          <w:szCs w:val="24"/>
        </w:rPr>
        <w:t>sales are strong (average $4,000/day) despite a reduction in hours</w:t>
      </w:r>
      <w:r w:rsidR="00DA712D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On-line sales are </w:t>
      </w:r>
      <w:r w:rsidR="00DA712D">
        <w:rPr>
          <w:sz w:val="24"/>
          <w:szCs w:val="24"/>
        </w:rPr>
        <w:t xml:space="preserve">increasing as more customers learn of the service; </w:t>
      </w:r>
      <w:r w:rsidR="00863664">
        <w:rPr>
          <w:sz w:val="24"/>
          <w:szCs w:val="24"/>
        </w:rPr>
        <w:t xml:space="preserve">Homebuyer mortgage sales to First Bank will generate approximately $70,000/home sold with cash received at closing. </w:t>
      </w:r>
    </w:p>
    <w:p w14:paraId="1F05105F" w14:textId="77777777" w:rsidR="0030653B" w:rsidRDefault="0030653B" w:rsidP="006A6B21">
      <w:pPr>
        <w:tabs>
          <w:tab w:val="left" w:pos="7613"/>
        </w:tabs>
        <w:rPr>
          <w:b/>
          <w:bCs/>
          <w:sz w:val="24"/>
          <w:szCs w:val="24"/>
        </w:rPr>
      </w:pPr>
    </w:p>
    <w:p w14:paraId="6D1B26DD" w14:textId="031A3237" w:rsidR="00863664" w:rsidRPr="00863664" w:rsidRDefault="00863664" w:rsidP="006A6B21">
      <w:pPr>
        <w:tabs>
          <w:tab w:val="left" w:pos="7613"/>
        </w:tabs>
        <w:rPr>
          <w:b/>
          <w:bCs/>
          <w:sz w:val="24"/>
          <w:szCs w:val="24"/>
        </w:rPr>
      </w:pPr>
      <w:r w:rsidRPr="00863664">
        <w:rPr>
          <w:b/>
          <w:bCs/>
          <w:sz w:val="24"/>
          <w:szCs w:val="24"/>
        </w:rPr>
        <w:t>Details:</w:t>
      </w:r>
    </w:p>
    <w:p w14:paraId="402504A8" w14:textId="366C934D" w:rsidR="00C85895" w:rsidRDefault="00011C9A" w:rsidP="00011C9A">
      <w:pPr>
        <w:rPr>
          <w:sz w:val="24"/>
          <w:szCs w:val="24"/>
        </w:rPr>
      </w:pPr>
      <w:r>
        <w:rPr>
          <w:sz w:val="24"/>
          <w:szCs w:val="24"/>
        </w:rPr>
        <w:t xml:space="preserve">Habitat </w:t>
      </w:r>
      <w:r w:rsidR="00863664">
        <w:rPr>
          <w:sz w:val="24"/>
          <w:szCs w:val="24"/>
        </w:rPr>
        <w:t xml:space="preserve">has </w:t>
      </w:r>
      <w:r>
        <w:rPr>
          <w:sz w:val="24"/>
          <w:szCs w:val="24"/>
        </w:rPr>
        <w:t xml:space="preserve">many moving parts and the budget reflects each department that </w:t>
      </w:r>
      <w:r w:rsidR="00863664">
        <w:rPr>
          <w:sz w:val="24"/>
          <w:szCs w:val="24"/>
        </w:rPr>
        <w:t xml:space="preserve">forms </w:t>
      </w:r>
      <w:r>
        <w:rPr>
          <w:sz w:val="24"/>
          <w:szCs w:val="24"/>
        </w:rPr>
        <w:t xml:space="preserve">Habitat. Within the budget you’ll find the traditional Income and Expense categories and then there are several sub-categories. </w:t>
      </w:r>
      <w:r w:rsidR="00C85895">
        <w:rPr>
          <w:sz w:val="24"/>
          <w:szCs w:val="24"/>
        </w:rPr>
        <w:t xml:space="preserve">Under Income there are three basic categories that generate revenue for the affiliate’s operations:  Gross Sale of Homes (revenue </w:t>
      </w:r>
      <w:r w:rsidR="002E3841">
        <w:rPr>
          <w:sz w:val="24"/>
          <w:szCs w:val="24"/>
        </w:rPr>
        <w:t xml:space="preserve">from </w:t>
      </w:r>
      <w:r w:rsidR="00C85895">
        <w:rPr>
          <w:sz w:val="24"/>
          <w:szCs w:val="24"/>
        </w:rPr>
        <w:t xml:space="preserve">the sale of Habitat and Open Market Homes), Donations (revenue </w:t>
      </w:r>
      <w:r w:rsidR="002E3841">
        <w:rPr>
          <w:sz w:val="24"/>
          <w:szCs w:val="24"/>
        </w:rPr>
        <w:t xml:space="preserve">from contributions and </w:t>
      </w:r>
      <w:r w:rsidR="00C85895">
        <w:rPr>
          <w:sz w:val="24"/>
          <w:szCs w:val="24"/>
        </w:rPr>
        <w:t xml:space="preserve">tracked by the </w:t>
      </w:r>
      <w:r w:rsidR="002E3841">
        <w:rPr>
          <w:sz w:val="24"/>
          <w:szCs w:val="24"/>
        </w:rPr>
        <w:t xml:space="preserve">gift </w:t>
      </w:r>
      <w:r w:rsidR="00C85895">
        <w:rPr>
          <w:sz w:val="24"/>
          <w:szCs w:val="24"/>
        </w:rPr>
        <w:t>source, like individuals, corporations, churches, etc.)</w:t>
      </w:r>
      <w:r w:rsidR="00C22AF3">
        <w:rPr>
          <w:sz w:val="24"/>
          <w:szCs w:val="24"/>
        </w:rPr>
        <w:t xml:space="preserve"> and ReStore sales</w:t>
      </w:r>
      <w:r w:rsidR="002E3841">
        <w:rPr>
          <w:sz w:val="24"/>
          <w:szCs w:val="24"/>
        </w:rPr>
        <w:t xml:space="preserve"> (revenue from in-person and on-line sales</w:t>
      </w:r>
      <w:r w:rsidR="00C22AF3">
        <w:rPr>
          <w:sz w:val="24"/>
          <w:szCs w:val="24"/>
        </w:rPr>
        <w:t>.</w:t>
      </w:r>
      <w:r w:rsidR="002E3841">
        <w:rPr>
          <w:sz w:val="24"/>
          <w:szCs w:val="24"/>
        </w:rPr>
        <w:t>)</w:t>
      </w:r>
      <w:r w:rsidR="00C85895">
        <w:rPr>
          <w:sz w:val="24"/>
          <w:szCs w:val="24"/>
        </w:rPr>
        <w:t xml:space="preserve"> </w:t>
      </w:r>
    </w:p>
    <w:p w14:paraId="75CBB25E" w14:textId="4EE6C917" w:rsidR="00011C9A" w:rsidRDefault="00C85895" w:rsidP="00011C9A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011C9A">
        <w:rPr>
          <w:sz w:val="24"/>
          <w:szCs w:val="24"/>
        </w:rPr>
        <w:t>ub-categories</w:t>
      </w:r>
      <w:r>
        <w:rPr>
          <w:sz w:val="24"/>
          <w:szCs w:val="24"/>
        </w:rPr>
        <w:t xml:space="preserve"> </w:t>
      </w:r>
      <w:r w:rsidR="002E3841">
        <w:rPr>
          <w:sz w:val="24"/>
          <w:szCs w:val="24"/>
        </w:rPr>
        <w:t xml:space="preserve">under </w:t>
      </w:r>
      <w:r>
        <w:rPr>
          <w:sz w:val="24"/>
          <w:szCs w:val="24"/>
        </w:rPr>
        <w:t>Expense</w:t>
      </w:r>
      <w:r w:rsidR="002E3841">
        <w:rPr>
          <w:sz w:val="24"/>
          <w:szCs w:val="24"/>
        </w:rPr>
        <w:t>s</w:t>
      </w:r>
      <w:r w:rsidR="00011C9A">
        <w:rPr>
          <w:sz w:val="24"/>
          <w:szCs w:val="24"/>
        </w:rPr>
        <w:t xml:space="preserve"> are the different “departments” of Habita</w:t>
      </w:r>
      <w:r>
        <w:rPr>
          <w:sz w:val="24"/>
          <w:szCs w:val="24"/>
        </w:rPr>
        <w:t>t includ</w:t>
      </w:r>
      <w:r w:rsidR="002E3841">
        <w:rPr>
          <w:sz w:val="24"/>
          <w:szCs w:val="24"/>
        </w:rPr>
        <w:t>ing</w:t>
      </w:r>
      <w:r>
        <w:rPr>
          <w:sz w:val="24"/>
          <w:szCs w:val="24"/>
        </w:rPr>
        <w:t xml:space="preserve">: </w:t>
      </w:r>
      <w:r w:rsidRPr="002E3841">
        <w:rPr>
          <w:b/>
          <w:bCs/>
          <w:i/>
          <w:iCs/>
          <w:sz w:val="24"/>
          <w:szCs w:val="24"/>
        </w:rPr>
        <w:t xml:space="preserve">Program </w:t>
      </w:r>
      <w:r>
        <w:rPr>
          <w:sz w:val="24"/>
          <w:szCs w:val="24"/>
        </w:rPr>
        <w:t>(</w:t>
      </w:r>
      <w:r w:rsidR="002E3841">
        <w:rPr>
          <w:sz w:val="24"/>
          <w:szCs w:val="24"/>
        </w:rPr>
        <w:t xml:space="preserve">all expenses associated with </w:t>
      </w:r>
      <w:r>
        <w:rPr>
          <w:sz w:val="24"/>
          <w:szCs w:val="24"/>
        </w:rPr>
        <w:t xml:space="preserve">new home construction), </w:t>
      </w:r>
      <w:r w:rsidRPr="002E3841">
        <w:rPr>
          <w:b/>
          <w:bCs/>
          <w:i/>
          <w:iCs/>
          <w:sz w:val="24"/>
          <w:szCs w:val="24"/>
        </w:rPr>
        <w:t>Habitat Repairs</w:t>
      </w:r>
      <w:r>
        <w:rPr>
          <w:sz w:val="24"/>
          <w:szCs w:val="24"/>
        </w:rPr>
        <w:t xml:space="preserve"> (payroll </w:t>
      </w:r>
      <w:r w:rsidRPr="002E3841">
        <w:rPr>
          <w:b/>
          <w:bCs/>
          <w:sz w:val="24"/>
          <w:szCs w:val="24"/>
        </w:rPr>
        <w:t>and</w:t>
      </w:r>
      <w:r>
        <w:rPr>
          <w:sz w:val="24"/>
          <w:szCs w:val="24"/>
        </w:rPr>
        <w:t xml:space="preserve"> repair costs), </w:t>
      </w:r>
      <w:r w:rsidRPr="002E3841">
        <w:rPr>
          <w:b/>
          <w:bCs/>
          <w:i/>
          <w:iCs/>
          <w:sz w:val="24"/>
          <w:szCs w:val="24"/>
        </w:rPr>
        <w:t>General and Administrative</w:t>
      </w:r>
      <w:r>
        <w:rPr>
          <w:sz w:val="24"/>
          <w:szCs w:val="24"/>
        </w:rPr>
        <w:t xml:space="preserve"> (back office or overhead expenses), Development (Fundraising), Restore (payroll</w:t>
      </w:r>
      <w:r w:rsidRPr="002E3841">
        <w:rPr>
          <w:b/>
          <w:bCs/>
          <w:sz w:val="24"/>
          <w:szCs w:val="24"/>
        </w:rPr>
        <w:t xml:space="preserve"> and </w:t>
      </w:r>
      <w:r>
        <w:rPr>
          <w:sz w:val="24"/>
          <w:szCs w:val="24"/>
        </w:rPr>
        <w:t>operating costs).</w:t>
      </w:r>
    </w:p>
    <w:p w14:paraId="64CF50E4" w14:textId="064FFF16" w:rsidR="00B14A3F" w:rsidRDefault="00C85895" w:rsidP="00011C9A">
      <w:pPr>
        <w:rPr>
          <w:sz w:val="24"/>
          <w:szCs w:val="24"/>
        </w:rPr>
      </w:pPr>
      <w:r>
        <w:rPr>
          <w:sz w:val="24"/>
          <w:szCs w:val="24"/>
        </w:rPr>
        <w:t xml:space="preserve">Now to the details of the budget! </w:t>
      </w:r>
      <w:r w:rsidR="008C0BB9">
        <w:rPr>
          <w:sz w:val="24"/>
          <w:szCs w:val="24"/>
        </w:rPr>
        <w:t xml:space="preserve">The income side of the budget projects a </w:t>
      </w:r>
      <w:r w:rsidR="0030653B">
        <w:rPr>
          <w:sz w:val="24"/>
          <w:szCs w:val="24"/>
        </w:rPr>
        <w:t>$563,658 decrease</w:t>
      </w:r>
      <w:r w:rsidR="008C0BB9">
        <w:rPr>
          <w:sz w:val="24"/>
          <w:szCs w:val="24"/>
        </w:rPr>
        <w:t xml:space="preserve"> in revenue and a </w:t>
      </w:r>
      <w:r w:rsidR="0030653B">
        <w:rPr>
          <w:sz w:val="24"/>
          <w:szCs w:val="24"/>
        </w:rPr>
        <w:t xml:space="preserve">$366,971 decrease </w:t>
      </w:r>
      <w:r w:rsidR="008C0BB9">
        <w:rPr>
          <w:sz w:val="24"/>
          <w:szCs w:val="24"/>
        </w:rPr>
        <w:t xml:space="preserve">in expenses. </w:t>
      </w:r>
    </w:p>
    <w:p w14:paraId="7D4773CB" w14:textId="7B9BED0E" w:rsidR="008E7BB2" w:rsidRDefault="00B14A3F" w:rsidP="00011C9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</w:t>
      </w:r>
      <w:r w:rsidR="008E7BB2">
        <w:rPr>
          <w:sz w:val="24"/>
          <w:szCs w:val="24"/>
        </w:rPr>
        <w:t>et’s</w:t>
      </w:r>
      <w:proofErr w:type="gramEnd"/>
      <w:r w:rsidR="008E7BB2">
        <w:rPr>
          <w:sz w:val="24"/>
          <w:szCs w:val="24"/>
        </w:rPr>
        <w:t xml:space="preserve"> </w:t>
      </w:r>
      <w:r>
        <w:rPr>
          <w:sz w:val="24"/>
          <w:szCs w:val="24"/>
        </w:rPr>
        <w:t>begin looking at the details of the budget a</w:t>
      </w:r>
      <w:r w:rsidR="008E7BB2">
        <w:rPr>
          <w:sz w:val="24"/>
          <w:szCs w:val="24"/>
        </w:rPr>
        <w:t>nd the explanation of the footnotes added to some line items:</w:t>
      </w:r>
    </w:p>
    <w:p w14:paraId="6B7F4196" w14:textId="0F98246E" w:rsidR="008E7BB2" w:rsidRPr="00C22AF3" w:rsidRDefault="008E7BB2" w:rsidP="00011C9A">
      <w:pPr>
        <w:rPr>
          <w:b/>
          <w:sz w:val="24"/>
          <w:szCs w:val="24"/>
        </w:rPr>
      </w:pPr>
      <w:r w:rsidRPr="00C22AF3">
        <w:rPr>
          <w:b/>
          <w:sz w:val="24"/>
          <w:szCs w:val="24"/>
        </w:rPr>
        <w:t>Income:</w:t>
      </w:r>
    </w:p>
    <w:p w14:paraId="1F4A7288" w14:textId="4A2A0E41" w:rsidR="008E7BB2" w:rsidRDefault="008E7BB2" w:rsidP="008E7B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2AF3">
        <w:rPr>
          <w:b/>
          <w:sz w:val="24"/>
          <w:szCs w:val="24"/>
        </w:rPr>
        <w:t>4000 Gross Sales of Homes</w:t>
      </w:r>
      <w:r w:rsidRPr="008E7BB2">
        <w:rPr>
          <w:sz w:val="24"/>
          <w:szCs w:val="24"/>
        </w:rPr>
        <w:t xml:space="preserve"> – this item projects </w:t>
      </w:r>
      <w:r w:rsidR="00B14A3F">
        <w:rPr>
          <w:sz w:val="24"/>
          <w:szCs w:val="24"/>
        </w:rPr>
        <w:t>6</w:t>
      </w:r>
      <w:r w:rsidRPr="008E7BB2">
        <w:rPr>
          <w:sz w:val="24"/>
          <w:szCs w:val="24"/>
        </w:rPr>
        <w:t xml:space="preserve"> homes </w:t>
      </w:r>
      <w:r w:rsidR="00B14A3F">
        <w:rPr>
          <w:sz w:val="24"/>
          <w:szCs w:val="24"/>
        </w:rPr>
        <w:t>to</w:t>
      </w:r>
      <w:r w:rsidRPr="008E7BB2">
        <w:rPr>
          <w:sz w:val="24"/>
          <w:szCs w:val="24"/>
        </w:rPr>
        <w:t xml:space="preserve"> be completed and sold in </w:t>
      </w:r>
      <w:r>
        <w:rPr>
          <w:sz w:val="24"/>
          <w:szCs w:val="24"/>
        </w:rPr>
        <w:t>2020</w:t>
      </w:r>
      <w:r w:rsidR="00B14A3F">
        <w:rPr>
          <w:sz w:val="24"/>
          <w:szCs w:val="24"/>
        </w:rPr>
        <w:t>-21</w:t>
      </w:r>
      <w:r>
        <w:rPr>
          <w:sz w:val="24"/>
          <w:szCs w:val="24"/>
        </w:rPr>
        <w:t xml:space="preserve">. In our current projection </w:t>
      </w:r>
      <w:r w:rsidR="00B14A3F">
        <w:rPr>
          <w:sz w:val="24"/>
          <w:szCs w:val="24"/>
        </w:rPr>
        <w:t>has all 6 homes as traditional Habitat Homes. If cash flow allows 2 of the 6 homes could become</w:t>
      </w:r>
      <w:r>
        <w:rPr>
          <w:sz w:val="24"/>
          <w:szCs w:val="24"/>
        </w:rPr>
        <w:t xml:space="preserve"> Open Market homes</w:t>
      </w:r>
      <w:r w:rsidR="00B14A3F">
        <w:rPr>
          <w:sz w:val="24"/>
          <w:szCs w:val="24"/>
        </w:rPr>
        <w:t xml:space="preserve">, which would produce an additional $50,000 – 60,000 in revenue. </w:t>
      </w:r>
      <w:r w:rsidR="00C22AF3">
        <w:rPr>
          <w:sz w:val="24"/>
          <w:szCs w:val="24"/>
        </w:rPr>
        <w:t>(</w:t>
      </w:r>
      <w:r w:rsidR="00B14A3F">
        <w:rPr>
          <w:sz w:val="24"/>
          <w:szCs w:val="24"/>
        </w:rPr>
        <w:t xml:space="preserve">Corresponding Expense line item 5000 is the </w:t>
      </w:r>
      <w:r w:rsidR="00C22AF3">
        <w:rPr>
          <w:sz w:val="24"/>
          <w:szCs w:val="24"/>
        </w:rPr>
        <w:t>cost of the homes</w:t>
      </w:r>
      <w:r w:rsidR="00B14A3F">
        <w:rPr>
          <w:sz w:val="24"/>
          <w:szCs w:val="24"/>
        </w:rPr>
        <w:t xml:space="preserve">: </w:t>
      </w:r>
      <w:r w:rsidR="00C22AF3">
        <w:rPr>
          <w:sz w:val="24"/>
          <w:szCs w:val="24"/>
        </w:rPr>
        <w:t xml:space="preserve">building materials, </w:t>
      </w:r>
      <w:proofErr w:type="gramStart"/>
      <w:r w:rsidR="00C22AF3">
        <w:rPr>
          <w:sz w:val="24"/>
          <w:szCs w:val="24"/>
        </w:rPr>
        <w:t>land</w:t>
      </w:r>
      <w:proofErr w:type="gramEnd"/>
      <w:r w:rsidR="00C22AF3">
        <w:rPr>
          <w:sz w:val="24"/>
          <w:szCs w:val="24"/>
        </w:rPr>
        <w:t xml:space="preserve"> and subcontractors)</w:t>
      </w:r>
      <w:r w:rsidR="00B14A3F">
        <w:rPr>
          <w:sz w:val="24"/>
          <w:szCs w:val="24"/>
        </w:rPr>
        <w:t>.</w:t>
      </w:r>
    </w:p>
    <w:p w14:paraId="46F9C2CC" w14:textId="023CE33C" w:rsidR="008E7BB2" w:rsidRDefault="008E7BB2" w:rsidP="008E7B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2AF3" w:rsidRPr="00C22AF3">
        <w:rPr>
          <w:b/>
          <w:sz w:val="24"/>
          <w:szCs w:val="24"/>
        </w:rPr>
        <w:t>4</w:t>
      </w:r>
      <w:r w:rsidR="008C0BB9">
        <w:rPr>
          <w:b/>
          <w:sz w:val="24"/>
          <w:szCs w:val="24"/>
        </w:rPr>
        <w:t xml:space="preserve">005 Donations </w:t>
      </w:r>
      <w:r w:rsidR="00C22AF3">
        <w:rPr>
          <w:b/>
          <w:sz w:val="24"/>
          <w:szCs w:val="24"/>
        </w:rPr>
        <w:t>–</w:t>
      </w:r>
      <w:r w:rsidR="00C22AF3">
        <w:rPr>
          <w:sz w:val="24"/>
          <w:szCs w:val="24"/>
        </w:rPr>
        <w:t xml:space="preserve"> </w:t>
      </w:r>
      <w:r w:rsidR="008C0BB9" w:rsidRPr="00C30CEE">
        <w:rPr>
          <w:sz w:val="24"/>
          <w:szCs w:val="24"/>
        </w:rPr>
        <w:t xml:space="preserve">Projected </w:t>
      </w:r>
      <w:r w:rsidR="00C30CEE" w:rsidRPr="00C30CEE">
        <w:rPr>
          <w:sz w:val="24"/>
          <w:szCs w:val="24"/>
        </w:rPr>
        <w:t>decrease</w:t>
      </w:r>
      <w:r w:rsidR="008C0BB9" w:rsidRPr="00C30CEE">
        <w:rPr>
          <w:sz w:val="24"/>
          <w:szCs w:val="24"/>
        </w:rPr>
        <w:t xml:space="preserve"> of </w:t>
      </w:r>
      <w:r w:rsidR="0030653B">
        <w:rPr>
          <w:sz w:val="24"/>
          <w:szCs w:val="24"/>
        </w:rPr>
        <w:t xml:space="preserve">$41,400 </w:t>
      </w:r>
      <w:r w:rsidR="008C0BB9" w:rsidRPr="0030653B">
        <w:rPr>
          <w:sz w:val="24"/>
          <w:szCs w:val="24"/>
        </w:rPr>
        <w:t xml:space="preserve">from </w:t>
      </w:r>
      <w:r w:rsidR="0030653B">
        <w:rPr>
          <w:sz w:val="24"/>
          <w:szCs w:val="24"/>
        </w:rPr>
        <w:t xml:space="preserve">the </w:t>
      </w:r>
      <w:r w:rsidR="008C0BB9" w:rsidRPr="0030653B">
        <w:rPr>
          <w:sz w:val="24"/>
          <w:szCs w:val="24"/>
        </w:rPr>
        <w:t xml:space="preserve">previous year’s </w:t>
      </w:r>
      <w:r w:rsidR="002D2B43" w:rsidRPr="0030653B">
        <w:rPr>
          <w:sz w:val="24"/>
          <w:szCs w:val="24"/>
        </w:rPr>
        <w:t>budget</w:t>
      </w:r>
      <w:r w:rsidR="0030653B">
        <w:rPr>
          <w:sz w:val="24"/>
          <w:szCs w:val="24"/>
        </w:rPr>
        <w:t xml:space="preserve">. </w:t>
      </w:r>
      <w:r w:rsidR="002D2B43">
        <w:rPr>
          <w:sz w:val="24"/>
          <w:szCs w:val="24"/>
        </w:rPr>
        <w:t xml:space="preserve">Projected </w:t>
      </w:r>
      <w:r w:rsidR="00C30CEE">
        <w:rPr>
          <w:sz w:val="24"/>
          <w:szCs w:val="24"/>
        </w:rPr>
        <w:t>decreases</w:t>
      </w:r>
      <w:r w:rsidR="002D2B43">
        <w:rPr>
          <w:sz w:val="24"/>
          <w:szCs w:val="24"/>
        </w:rPr>
        <w:t xml:space="preserve"> are associated with the Home is the Key event</w:t>
      </w:r>
      <w:r w:rsidR="00C30CEE">
        <w:rPr>
          <w:sz w:val="24"/>
          <w:szCs w:val="24"/>
        </w:rPr>
        <w:t xml:space="preserve"> shifting from an in-person to a virtual event</w:t>
      </w:r>
      <w:r w:rsidR="0030653B">
        <w:rPr>
          <w:sz w:val="24"/>
          <w:szCs w:val="24"/>
        </w:rPr>
        <w:t>. To supplement losses with HITK, we are working more aggressively with a contract grant writer</w:t>
      </w:r>
      <w:r w:rsidR="00C30CEE">
        <w:rPr>
          <w:sz w:val="24"/>
          <w:szCs w:val="24"/>
        </w:rPr>
        <w:t xml:space="preserve"> </w:t>
      </w:r>
      <w:r w:rsidR="0043313B">
        <w:rPr>
          <w:sz w:val="24"/>
          <w:szCs w:val="24"/>
        </w:rPr>
        <w:t xml:space="preserve">and </w:t>
      </w:r>
      <w:r w:rsidR="00C30CEE">
        <w:rPr>
          <w:sz w:val="24"/>
          <w:szCs w:val="24"/>
        </w:rPr>
        <w:t>continuing</w:t>
      </w:r>
      <w:r w:rsidR="002D2B43">
        <w:rPr>
          <w:sz w:val="24"/>
          <w:szCs w:val="24"/>
        </w:rPr>
        <w:t xml:space="preserve"> fundraising strategies </w:t>
      </w:r>
      <w:r w:rsidR="00C30CEE">
        <w:rPr>
          <w:sz w:val="24"/>
          <w:szCs w:val="24"/>
        </w:rPr>
        <w:t xml:space="preserve">implemented in 2019-20 </w:t>
      </w:r>
      <w:r w:rsidR="002D2B43">
        <w:rPr>
          <w:sz w:val="24"/>
          <w:szCs w:val="24"/>
        </w:rPr>
        <w:t xml:space="preserve">with </w:t>
      </w:r>
      <w:r w:rsidR="00C30CEE">
        <w:rPr>
          <w:sz w:val="24"/>
          <w:szCs w:val="24"/>
        </w:rPr>
        <w:t>“Funding for Good”</w:t>
      </w:r>
      <w:r w:rsidR="002D2B43">
        <w:rPr>
          <w:sz w:val="24"/>
          <w:szCs w:val="24"/>
        </w:rPr>
        <w:t xml:space="preserve"> fundraising consultants</w:t>
      </w:r>
      <w:r w:rsidR="0043313B">
        <w:rPr>
          <w:sz w:val="24"/>
          <w:szCs w:val="24"/>
        </w:rPr>
        <w:t xml:space="preserve"> (corresponding expense Line 7520)</w:t>
      </w:r>
      <w:r w:rsidR="002D2B43">
        <w:rPr>
          <w:sz w:val="24"/>
          <w:szCs w:val="24"/>
        </w:rPr>
        <w:t xml:space="preserve">. </w:t>
      </w:r>
      <w:r w:rsidR="00C22AF3">
        <w:rPr>
          <w:sz w:val="24"/>
          <w:szCs w:val="24"/>
        </w:rPr>
        <w:t xml:space="preserve"> </w:t>
      </w:r>
    </w:p>
    <w:p w14:paraId="03D926AE" w14:textId="77777777" w:rsidR="00B14A3F" w:rsidRPr="00B14A3F" w:rsidRDefault="00B14A3F" w:rsidP="00B14A3F">
      <w:pPr>
        <w:pStyle w:val="ListParagraph"/>
        <w:ind w:left="730"/>
        <w:rPr>
          <w:sz w:val="24"/>
          <w:szCs w:val="24"/>
        </w:rPr>
      </w:pPr>
    </w:p>
    <w:p w14:paraId="240F4D10" w14:textId="1BA7094B" w:rsidR="00157BA0" w:rsidRDefault="0043313B" w:rsidP="00157BA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57BA0">
        <w:rPr>
          <w:b/>
          <w:sz w:val="24"/>
          <w:szCs w:val="24"/>
        </w:rPr>
        <w:t xml:space="preserve">4990 ReStore Sales – </w:t>
      </w:r>
      <w:r w:rsidRPr="00157BA0">
        <w:rPr>
          <w:sz w:val="24"/>
          <w:szCs w:val="24"/>
        </w:rPr>
        <w:t xml:space="preserve">Projected </w:t>
      </w:r>
      <w:r w:rsidR="00C30CEE" w:rsidRPr="00157BA0">
        <w:rPr>
          <w:sz w:val="24"/>
          <w:szCs w:val="24"/>
        </w:rPr>
        <w:t>decrease</w:t>
      </w:r>
      <w:r w:rsidRPr="00157BA0">
        <w:rPr>
          <w:sz w:val="24"/>
          <w:szCs w:val="24"/>
        </w:rPr>
        <w:t xml:space="preserve"> of</w:t>
      </w:r>
      <w:r w:rsidR="00C30CEE" w:rsidRPr="00157BA0">
        <w:rPr>
          <w:sz w:val="24"/>
          <w:szCs w:val="24"/>
        </w:rPr>
        <w:t xml:space="preserve"> </w:t>
      </w:r>
      <w:r w:rsidRPr="00157BA0">
        <w:rPr>
          <w:sz w:val="24"/>
          <w:szCs w:val="24"/>
        </w:rPr>
        <w:t>in sales</w:t>
      </w:r>
      <w:r w:rsidR="00E0665C" w:rsidRPr="00157BA0">
        <w:rPr>
          <w:sz w:val="24"/>
          <w:szCs w:val="24"/>
        </w:rPr>
        <w:t xml:space="preserve"> due to</w:t>
      </w:r>
      <w:r w:rsidR="00C30CEE" w:rsidRPr="00157BA0">
        <w:rPr>
          <w:sz w:val="24"/>
          <w:szCs w:val="24"/>
        </w:rPr>
        <w:t xml:space="preserve"> reduction in store hours</w:t>
      </w:r>
      <w:r w:rsidR="00157BA0">
        <w:rPr>
          <w:sz w:val="24"/>
          <w:szCs w:val="24"/>
        </w:rPr>
        <w:t xml:space="preserve"> from 6 days/week to 4 days/week</w:t>
      </w:r>
      <w:r w:rsidR="00C30CEE" w:rsidRPr="00157BA0">
        <w:rPr>
          <w:sz w:val="24"/>
          <w:szCs w:val="24"/>
        </w:rPr>
        <w:t xml:space="preserve">. </w:t>
      </w:r>
    </w:p>
    <w:p w14:paraId="416D75C6" w14:textId="77777777" w:rsidR="00157BA0" w:rsidRDefault="00157BA0" w:rsidP="00157BA0">
      <w:pPr>
        <w:pStyle w:val="ListParagraph"/>
        <w:ind w:left="360"/>
        <w:rPr>
          <w:b/>
          <w:sz w:val="24"/>
          <w:szCs w:val="24"/>
        </w:rPr>
      </w:pPr>
    </w:p>
    <w:p w14:paraId="4315F02B" w14:textId="7A0C3580" w:rsidR="0043313B" w:rsidRPr="00157BA0" w:rsidRDefault="00E0665C" w:rsidP="00157BA0">
      <w:pPr>
        <w:pStyle w:val="ListParagraph"/>
        <w:ind w:left="360"/>
        <w:rPr>
          <w:b/>
          <w:sz w:val="24"/>
          <w:szCs w:val="24"/>
        </w:rPr>
      </w:pPr>
      <w:r w:rsidRPr="00157BA0">
        <w:rPr>
          <w:b/>
          <w:sz w:val="24"/>
          <w:szCs w:val="24"/>
        </w:rPr>
        <w:t>Expenses:</w:t>
      </w:r>
    </w:p>
    <w:p w14:paraId="0FD9CD9B" w14:textId="66EF8831" w:rsidR="00E0665C" w:rsidRDefault="008D2057" w:rsidP="008D205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D2057">
        <w:rPr>
          <w:b/>
          <w:sz w:val="24"/>
          <w:szCs w:val="24"/>
        </w:rPr>
        <w:t xml:space="preserve">5000 Cost of Homes – </w:t>
      </w:r>
      <w:r w:rsidRPr="008D2057">
        <w:rPr>
          <w:sz w:val="24"/>
          <w:szCs w:val="24"/>
        </w:rPr>
        <w:t xml:space="preserve">the total expense of materials, </w:t>
      </w:r>
      <w:proofErr w:type="gramStart"/>
      <w:r w:rsidRPr="008D2057">
        <w:rPr>
          <w:sz w:val="24"/>
          <w:szCs w:val="24"/>
        </w:rPr>
        <w:t>land</w:t>
      </w:r>
      <w:proofErr w:type="gramEnd"/>
      <w:r w:rsidRPr="008D2057">
        <w:rPr>
          <w:sz w:val="24"/>
          <w:szCs w:val="24"/>
        </w:rPr>
        <w:t xml:space="preserve"> and contractor labor for the </w:t>
      </w:r>
      <w:r w:rsidR="00497CBE">
        <w:rPr>
          <w:sz w:val="24"/>
          <w:szCs w:val="24"/>
        </w:rPr>
        <w:t>6</w:t>
      </w:r>
      <w:r w:rsidRPr="008D2057">
        <w:rPr>
          <w:sz w:val="24"/>
          <w:szCs w:val="24"/>
        </w:rPr>
        <w:t xml:space="preserve"> homes</w:t>
      </w:r>
      <w:r>
        <w:rPr>
          <w:sz w:val="24"/>
          <w:szCs w:val="24"/>
        </w:rPr>
        <w:t xml:space="preserve"> projected to be </w:t>
      </w:r>
      <w:r w:rsidR="00FF1588">
        <w:rPr>
          <w:sz w:val="24"/>
          <w:szCs w:val="24"/>
        </w:rPr>
        <w:t>built</w:t>
      </w:r>
      <w:r>
        <w:rPr>
          <w:sz w:val="24"/>
          <w:szCs w:val="24"/>
        </w:rPr>
        <w:t xml:space="preserve"> and sold. </w:t>
      </w:r>
      <w:r w:rsidR="00497CBE">
        <w:rPr>
          <w:sz w:val="24"/>
          <w:szCs w:val="24"/>
        </w:rPr>
        <w:t xml:space="preserve">With this budget, the </w:t>
      </w:r>
      <w:r w:rsidR="006044A3">
        <w:rPr>
          <w:sz w:val="24"/>
          <w:szCs w:val="24"/>
        </w:rPr>
        <w:t xml:space="preserve">2016 </w:t>
      </w:r>
      <w:r w:rsidR="00497CBE">
        <w:rPr>
          <w:sz w:val="24"/>
          <w:szCs w:val="24"/>
        </w:rPr>
        <w:t xml:space="preserve">purchase of </w:t>
      </w:r>
      <w:r w:rsidR="00F95CD6">
        <w:rPr>
          <w:sz w:val="24"/>
          <w:szCs w:val="24"/>
        </w:rPr>
        <w:t xml:space="preserve">5 </w:t>
      </w:r>
      <w:r w:rsidR="00497CBE">
        <w:rPr>
          <w:sz w:val="24"/>
          <w:szCs w:val="24"/>
        </w:rPr>
        <w:t xml:space="preserve">Ridgeview lots is included in Cost of Homes along with the removal of the original homes. This creates an </w:t>
      </w:r>
      <w:r w:rsidR="0030653B">
        <w:rPr>
          <w:sz w:val="24"/>
          <w:szCs w:val="24"/>
        </w:rPr>
        <w:t xml:space="preserve">over </w:t>
      </w:r>
      <w:r w:rsidR="00497CBE">
        <w:rPr>
          <w:sz w:val="24"/>
          <w:szCs w:val="24"/>
        </w:rPr>
        <w:t>inflated land value of $2</w:t>
      </w:r>
      <w:r w:rsidR="0030653B">
        <w:rPr>
          <w:sz w:val="24"/>
          <w:szCs w:val="24"/>
        </w:rPr>
        <w:t>5</w:t>
      </w:r>
      <w:r w:rsidR="00497CBE">
        <w:rPr>
          <w:sz w:val="24"/>
          <w:szCs w:val="24"/>
        </w:rPr>
        <w:t>,000/lot</w:t>
      </w:r>
      <w:r w:rsidR="00F95CD6">
        <w:rPr>
          <w:sz w:val="24"/>
          <w:szCs w:val="24"/>
        </w:rPr>
        <w:t xml:space="preserve"> for these 5 lots</w:t>
      </w:r>
      <w:r w:rsidR="00497CBE">
        <w:rPr>
          <w:sz w:val="24"/>
          <w:szCs w:val="24"/>
        </w:rPr>
        <w:t xml:space="preserve">. Habitat purchased the land with a designated gift of $100,000 and removed the homes with a $25,000 grant from the City of Hickory. </w:t>
      </w:r>
      <w:proofErr w:type="gramStart"/>
      <w:r w:rsidR="006044A3">
        <w:rPr>
          <w:sz w:val="24"/>
          <w:szCs w:val="24"/>
        </w:rPr>
        <w:t>Therefore</w:t>
      </w:r>
      <w:proofErr w:type="gramEnd"/>
      <w:r w:rsidR="006044A3">
        <w:rPr>
          <w:sz w:val="24"/>
          <w:szCs w:val="24"/>
        </w:rPr>
        <w:t xml:space="preserve"> all expenses were covered and paid for in 2016, but general accounting practices require that those expenses are posted with this budget, while the income was received in 2016.</w:t>
      </w:r>
    </w:p>
    <w:p w14:paraId="145B13D3" w14:textId="64E112C9" w:rsidR="00497CBE" w:rsidRDefault="008D2057" w:rsidP="008D205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5002, 5302 &amp; 9002 –</w:t>
      </w:r>
      <w:r>
        <w:rPr>
          <w:sz w:val="24"/>
          <w:szCs w:val="24"/>
        </w:rPr>
        <w:t xml:space="preserve"> Salaries for the 3 Habitat departments: </w:t>
      </w:r>
      <w:r w:rsidRPr="00497CBE">
        <w:rPr>
          <w:b/>
          <w:bCs/>
          <w:i/>
          <w:iCs/>
          <w:sz w:val="24"/>
          <w:szCs w:val="24"/>
        </w:rPr>
        <w:t xml:space="preserve">Program </w:t>
      </w:r>
      <w:r>
        <w:rPr>
          <w:sz w:val="24"/>
          <w:szCs w:val="24"/>
        </w:rPr>
        <w:t xml:space="preserve">(new construction), </w:t>
      </w:r>
      <w:r w:rsidR="00497CBE" w:rsidRPr="00497CBE">
        <w:rPr>
          <w:b/>
          <w:bCs/>
          <w:i/>
          <w:iCs/>
          <w:sz w:val="24"/>
          <w:szCs w:val="24"/>
        </w:rPr>
        <w:t>Home</w:t>
      </w:r>
      <w:r w:rsidR="00497CBE">
        <w:rPr>
          <w:sz w:val="24"/>
          <w:szCs w:val="24"/>
        </w:rPr>
        <w:t xml:space="preserve"> </w:t>
      </w:r>
      <w:r w:rsidR="00497CBE">
        <w:rPr>
          <w:b/>
          <w:bCs/>
          <w:i/>
          <w:iCs/>
          <w:sz w:val="24"/>
          <w:szCs w:val="24"/>
        </w:rPr>
        <w:t>R</w:t>
      </w:r>
      <w:r w:rsidRPr="00497CBE">
        <w:rPr>
          <w:b/>
          <w:bCs/>
          <w:i/>
          <w:iCs/>
          <w:sz w:val="24"/>
          <w:szCs w:val="24"/>
        </w:rPr>
        <w:t xml:space="preserve">epairs </w:t>
      </w:r>
      <w:r>
        <w:rPr>
          <w:sz w:val="24"/>
          <w:szCs w:val="24"/>
        </w:rPr>
        <w:t xml:space="preserve">and </w:t>
      </w:r>
      <w:r w:rsidRPr="00497CBE">
        <w:rPr>
          <w:b/>
          <w:bCs/>
          <w:i/>
          <w:iCs/>
          <w:sz w:val="24"/>
          <w:szCs w:val="24"/>
        </w:rPr>
        <w:t>ReStore</w:t>
      </w:r>
      <w:r>
        <w:rPr>
          <w:sz w:val="24"/>
          <w:szCs w:val="24"/>
        </w:rPr>
        <w:t>.</w:t>
      </w:r>
      <w:r w:rsidR="00B90663">
        <w:rPr>
          <w:sz w:val="24"/>
          <w:szCs w:val="24"/>
        </w:rPr>
        <w:t xml:space="preserve"> </w:t>
      </w:r>
      <w:r w:rsidR="00F95CD6">
        <w:rPr>
          <w:sz w:val="24"/>
          <w:szCs w:val="24"/>
        </w:rPr>
        <w:t>No increases are projected this year, but I would like to assess where we are in December 2020 and propose a modest increase if we are on track with our budget and the economy is stronger.</w:t>
      </w:r>
    </w:p>
    <w:p w14:paraId="7368AEC7" w14:textId="66EB0520" w:rsidR="00043563" w:rsidRPr="00043563" w:rsidRDefault="00043563" w:rsidP="0004356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043563">
        <w:rPr>
          <w:b/>
          <w:sz w:val="24"/>
          <w:szCs w:val="24"/>
        </w:rPr>
        <w:t xml:space="preserve">5215 Closing Costs – </w:t>
      </w:r>
      <w:r w:rsidRPr="00043563">
        <w:rPr>
          <w:sz w:val="24"/>
          <w:szCs w:val="24"/>
        </w:rPr>
        <w:t>cost of selling Habitat</w:t>
      </w:r>
      <w:r>
        <w:rPr>
          <w:sz w:val="24"/>
          <w:szCs w:val="24"/>
        </w:rPr>
        <w:t xml:space="preserve"> and Open Market</w:t>
      </w:r>
      <w:r w:rsidRPr="00043563">
        <w:rPr>
          <w:sz w:val="24"/>
          <w:szCs w:val="24"/>
        </w:rPr>
        <w:t xml:space="preserve"> homes to </w:t>
      </w:r>
      <w:r>
        <w:rPr>
          <w:sz w:val="24"/>
          <w:szCs w:val="24"/>
        </w:rPr>
        <w:t>homebuyers.</w:t>
      </w:r>
    </w:p>
    <w:p w14:paraId="2A432BFF" w14:textId="604A9A8E" w:rsidR="00043563" w:rsidRPr="00043563" w:rsidRDefault="00043563" w:rsidP="0004356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5354 Repair Project Expenses – </w:t>
      </w:r>
      <w:r>
        <w:rPr>
          <w:sz w:val="24"/>
          <w:szCs w:val="24"/>
        </w:rPr>
        <w:t>Budget estimates</w:t>
      </w:r>
      <w:r w:rsidR="00F95CD6">
        <w:rPr>
          <w:sz w:val="24"/>
          <w:szCs w:val="24"/>
        </w:rPr>
        <w:t xml:space="preserve"> </w:t>
      </w:r>
      <w:r w:rsidR="006044A3">
        <w:rPr>
          <w:sz w:val="24"/>
          <w:szCs w:val="24"/>
        </w:rPr>
        <w:t>43 R</w:t>
      </w:r>
      <w:r>
        <w:rPr>
          <w:sz w:val="24"/>
          <w:szCs w:val="24"/>
        </w:rPr>
        <w:t xml:space="preserve">epairs at an average cost of </w:t>
      </w:r>
      <w:r w:rsidRPr="006044A3">
        <w:rPr>
          <w:sz w:val="24"/>
          <w:szCs w:val="24"/>
        </w:rPr>
        <w:t>$</w:t>
      </w:r>
      <w:r w:rsidR="006044A3">
        <w:rPr>
          <w:sz w:val="24"/>
          <w:szCs w:val="24"/>
        </w:rPr>
        <w:t>2,500</w:t>
      </w:r>
      <w:r w:rsidRPr="006044A3">
        <w:rPr>
          <w:sz w:val="24"/>
          <w:szCs w:val="24"/>
        </w:rPr>
        <w:t>/repair.</w:t>
      </w:r>
      <w:r>
        <w:rPr>
          <w:sz w:val="24"/>
          <w:szCs w:val="24"/>
        </w:rPr>
        <w:t xml:space="preserve">  </w:t>
      </w:r>
    </w:p>
    <w:p w14:paraId="0D7862C1" w14:textId="1556EDF6" w:rsidR="008D2057" w:rsidRPr="00401508" w:rsidRDefault="00043563" w:rsidP="0004356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7520 </w:t>
      </w:r>
      <w:r w:rsidR="00401508">
        <w:rPr>
          <w:b/>
          <w:sz w:val="24"/>
          <w:szCs w:val="24"/>
        </w:rPr>
        <w:t xml:space="preserve">Development Training/Professional Development – </w:t>
      </w:r>
      <w:r w:rsidR="00401508">
        <w:rPr>
          <w:sz w:val="24"/>
          <w:szCs w:val="24"/>
        </w:rPr>
        <w:t xml:space="preserve">Professional fundraising training for staff </w:t>
      </w:r>
      <w:r w:rsidR="00061345">
        <w:rPr>
          <w:sz w:val="24"/>
          <w:szCs w:val="24"/>
        </w:rPr>
        <w:t xml:space="preserve">with “Funding for Good” consulting. </w:t>
      </w:r>
      <w:r w:rsidR="00401508">
        <w:rPr>
          <w:sz w:val="24"/>
          <w:szCs w:val="24"/>
        </w:rPr>
        <w:t>Training is on site through May 202</w:t>
      </w:r>
      <w:r w:rsidR="00061345">
        <w:rPr>
          <w:sz w:val="24"/>
          <w:szCs w:val="24"/>
        </w:rPr>
        <w:t>1</w:t>
      </w:r>
      <w:r w:rsidR="00401508">
        <w:rPr>
          <w:sz w:val="24"/>
          <w:szCs w:val="24"/>
        </w:rPr>
        <w:t>.</w:t>
      </w:r>
      <w:r w:rsidR="00B90663" w:rsidRPr="00043563">
        <w:rPr>
          <w:b/>
          <w:sz w:val="24"/>
          <w:szCs w:val="24"/>
        </w:rPr>
        <w:t xml:space="preserve">  </w:t>
      </w:r>
      <w:r w:rsidR="008D2057" w:rsidRPr="00043563">
        <w:rPr>
          <w:sz w:val="24"/>
          <w:szCs w:val="24"/>
        </w:rPr>
        <w:t xml:space="preserve"> </w:t>
      </w:r>
    </w:p>
    <w:p w14:paraId="696DAF6D" w14:textId="7503F1E4" w:rsidR="00401508" w:rsidRPr="00C6657A" w:rsidRDefault="00401508" w:rsidP="0004356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7640 Marketing and Media </w:t>
      </w:r>
      <w:r w:rsidR="00F13B24">
        <w:rPr>
          <w:b/>
          <w:sz w:val="24"/>
          <w:szCs w:val="24"/>
        </w:rPr>
        <w:t>–</w:t>
      </w:r>
      <w:r w:rsidR="00061345">
        <w:rPr>
          <w:b/>
          <w:sz w:val="24"/>
          <w:szCs w:val="24"/>
        </w:rPr>
        <w:t xml:space="preserve"> </w:t>
      </w:r>
      <w:r w:rsidR="00061345">
        <w:rPr>
          <w:bCs/>
          <w:sz w:val="24"/>
          <w:szCs w:val="24"/>
        </w:rPr>
        <w:t xml:space="preserve">continued marketing and advertising with Full Metal Chicken. </w:t>
      </w:r>
      <w:r w:rsidR="00C6657A">
        <w:rPr>
          <w:sz w:val="24"/>
          <w:szCs w:val="24"/>
        </w:rPr>
        <w:t xml:space="preserve"> </w:t>
      </w:r>
    </w:p>
    <w:p w14:paraId="1AF90F60" w14:textId="12131B16" w:rsidR="00543C08" w:rsidRPr="006044A3" w:rsidRDefault="006044A3" w:rsidP="00103D2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9002 ReStore-Salaries and Wages – </w:t>
      </w:r>
      <w:r>
        <w:rPr>
          <w:bCs/>
          <w:sz w:val="24"/>
          <w:szCs w:val="24"/>
        </w:rPr>
        <w:t>Increased $30,000 for 2 new part time employees to help supplement the loss of volunteer labor.</w:t>
      </w:r>
    </w:p>
    <w:p w14:paraId="0202D55E" w14:textId="345759B8" w:rsidR="006044A3" w:rsidRDefault="006044A3" w:rsidP="00103D2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9625 ReStore-Advertising </w:t>
      </w:r>
      <w:r>
        <w:rPr>
          <w:bCs/>
          <w:sz w:val="24"/>
          <w:szCs w:val="24"/>
        </w:rPr>
        <w:t>– includes advertising with Full Metal Chicken</w:t>
      </w:r>
    </w:p>
    <w:p w14:paraId="3C27C194" w14:textId="77777777" w:rsidR="00543C08" w:rsidRDefault="00543C08" w:rsidP="00011C9A">
      <w:pPr>
        <w:rPr>
          <w:b/>
          <w:sz w:val="24"/>
          <w:szCs w:val="24"/>
        </w:rPr>
      </w:pPr>
    </w:p>
    <w:p w14:paraId="780807E7" w14:textId="77777777" w:rsidR="00C85895" w:rsidRPr="00D543B2" w:rsidRDefault="00D543B2" w:rsidP="00011C9A">
      <w:pPr>
        <w:rPr>
          <w:b/>
          <w:sz w:val="24"/>
          <w:szCs w:val="24"/>
        </w:rPr>
      </w:pPr>
      <w:r w:rsidRPr="00D543B2">
        <w:rPr>
          <w:b/>
          <w:sz w:val="24"/>
          <w:szCs w:val="24"/>
        </w:rPr>
        <w:t>Capital Expenditures –</w:t>
      </w:r>
    </w:p>
    <w:p w14:paraId="4AE75D1B" w14:textId="5E109846" w:rsidR="00D543B2" w:rsidRDefault="00D543B2" w:rsidP="00011C9A">
      <w:pPr>
        <w:rPr>
          <w:sz w:val="24"/>
          <w:szCs w:val="24"/>
        </w:rPr>
      </w:pPr>
      <w:r w:rsidRPr="0095101C">
        <w:rPr>
          <w:b/>
          <w:sz w:val="24"/>
          <w:szCs w:val="24"/>
        </w:rPr>
        <w:t>ReStore</w:t>
      </w:r>
      <w:r>
        <w:rPr>
          <w:sz w:val="24"/>
          <w:szCs w:val="24"/>
        </w:rPr>
        <w:t xml:space="preserve"> – </w:t>
      </w:r>
      <w:r w:rsidR="00F95CD6">
        <w:rPr>
          <w:sz w:val="24"/>
          <w:szCs w:val="24"/>
        </w:rPr>
        <w:t>Additional c</w:t>
      </w:r>
      <w:r>
        <w:rPr>
          <w:sz w:val="24"/>
          <w:szCs w:val="24"/>
        </w:rPr>
        <w:t>ash register/Point of Sale/Donation upgrades $</w:t>
      </w:r>
      <w:r w:rsidR="00F95CD6">
        <w:rPr>
          <w:sz w:val="24"/>
          <w:szCs w:val="24"/>
        </w:rPr>
        <w:t>4</w:t>
      </w:r>
      <w:r>
        <w:rPr>
          <w:sz w:val="24"/>
          <w:szCs w:val="24"/>
        </w:rPr>
        <w:t>,000</w:t>
      </w:r>
    </w:p>
    <w:p w14:paraId="4E62C655" w14:textId="77777777" w:rsidR="00011C9A" w:rsidRDefault="00011C9A" w:rsidP="00011C9A"/>
    <w:sectPr w:rsidR="00011C9A" w:rsidSect="00011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1040"/>
    <w:multiLevelType w:val="hybridMultilevel"/>
    <w:tmpl w:val="4DECD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649D8"/>
    <w:multiLevelType w:val="hybridMultilevel"/>
    <w:tmpl w:val="70E6A03E"/>
    <w:lvl w:ilvl="0" w:tplc="3EF0E568">
      <w:start w:val="1"/>
      <w:numFmt w:val="decimal"/>
      <w:lvlText w:val="(%1)"/>
      <w:lvlJc w:val="left"/>
      <w:pPr>
        <w:ind w:left="740" w:hanging="3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B49D8"/>
    <w:multiLevelType w:val="hybridMultilevel"/>
    <w:tmpl w:val="4D786E3E"/>
    <w:lvl w:ilvl="0" w:tplc="9292527E">
      <w:start w:val="1"/>
      <w:numFmt w:val="lowerLetter"/>
      <w:lvlText w:val="(%1)"/>
      <w:lvlJc w:val="left"/>
      <w:pPr>
        <w:ind w:left="730" w:hanging="3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30A8E"/>
    <w:multiLevelType w:val="hybridMultilevel"/>
    <w:tmpl w:val="2514F278"/>
    <w:lvl w:ilvl="0" w:tplc="9292527E">
      <w:start w:val="1"/>
      <w:numFmt w:val="lowerLetter"/>
      <w:lvlText w:val="(%1)"/>
      <w:lvlJc w:val="left"/>
      <w:pPr>
        <w:ind w:left="730" w:hanging="37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D77A4"/>
    <w:multiLevelType w:val="hybridMultilevel"/>
    <w:tmpl w:val="3B686A1C"/>
    <w:lvl w:ilvl="0" w:tplc="9292527E">
      <w:start w:val="1"/>
      <w:numFmt w:val="lowerLetter"/>
      <w:lvlText w:val="(%1)"/>
      <w:lvlJc w:val="left"/>
      <w:pPr>
        <w:ind w:left="1470" w:hanging="3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 w15:restartNumberingAfterBreak="0">
    <w:nsid w:val="35C761E2"/>
    <w:multiLevelType w:val="hybridMultilevel"/>
    <w:tmpl w:val="D2F6BEFE"/>
    <w:lvl w:ilvl="0" w:tplc="0409000F">
      <w:start w:val="1"/>
      <w:numFmt w:val="decimal"/>
      <w:lvlText w:val="%1."/>
      <w:lvlJc w:val="left"/>
      <w:pPr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 w15:restartNumberingAfterBreak="0">
    <w:nsid w:val="46114A95"/>
    <w:multiLevelType w:val="hybridMultilevel"/>
    <w:tmpl w:val="E7BA8B52"/>
    <w:lvl w:ilvl="0" w:tplc="9292527E">
      <w:start w:val="1"/>
      <w:numFmt w:val="lowerLetter"/>
      <w:lvlText w:val="(%1)"/>
      <w:lvlJc w:val="left"/>
      <w:pPr>
        <w:ind w:left="730" w:hanging="3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D3B55"/>
    <w:multiLevelType w:val="hybridMultilevel"/>
    <w:tmpl w:val="CB028540"/>
    <w:lvl w:ilvl="0" w:tplc="9292527E">
      <w:start w:val="1"/>
      <w:numFmt w:val="lowerLetter"/>
      <w:lvlText w:val="(%1)"/>
      <w:lvlJc w:val="left"/>
      <w:pPr>
        <w:ind w:left="840" w:hanging="3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8" w15:restartNumberingAfterBreak="0">
    <w:nsid w:val="63784BCC"/>
    <w:multiLevelType w:val="hybridMultilevel"/>
    <w:tmpl w:val="0FC6891C"/>
    <w:lvl w:ilvl="0" w:tplc="9292527E">
      <w:start w:val="1"/>
      <w:numFmt w:val="lowerLetter"/>
      <w:lvlText w:val="(%1)"/>
      <w:lvlJc w:val="left"/>
      <w:pPr>
        <w:ind w:left="1000" w:hanging="3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78F17D6F"/>
    <w:multiLevelType w:val="hybridMultilevel"/>
    <w:tmpl w:val="B686C78E"/>
    <w:lvl w:ilvl="0" w:tplc="9292527E">
      <w:start w:val="1"/>
      <w:numFmt w:val="lowerLetter"/>
      <w:lvlText w:val="(%1)"/>
      <w:lvlJc w:val="left"/>
      <w:pPr>
        <w:ind w:left="1090" w:hanging="3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C5"/>
    <w:rsid w:val="00011C9A"/>
    <w:rsid w:val="00022740"/>
    <w:rsid w:val="00031C14"/>
    <w:rsid w:val="00043563"/>
    <w:rsid w:val="00061345"/>
    <w:rsid w:val="000A28AB"/>
    <w:rsid w:val="00103D2F"/>
    <w:rsid w:val="0012190E"/>
    <w:rsid w:val="0013374C"/>
    <w:rsid w:val="00136714"/>
    <w:rsid w:val="00157BA0"/>
    <w:rsid w:val="0016502F"/>
    <w:rsid w:val="001862BE"/>
    <w:rsid w:val="001901CF"/>
    <w:rsid w:val="001E5853"/>
    <w:rsid w:val="001F67E4"/>
    <w:rsid w:val="0023467E"/>
    <w:rsid w:val="002B648C"/>
    <w:rsid w:val="002D2B43"/>
    <w:rsid w:val="002E3841"/>
    <w:rsid w:val="00301946"/>
    <w:rsid w:val="00304451"/>
    <w:rsid w:val="0030653B"/>
    <w:rsid w:val="00312327"/>
    <w:rsid w:val="003302DB"/>
    <w:rsid w:val="00371CA0"/>
    <w:rsid w:val="00375A79"/>
    <w:rsid w:val="003A042F"/>
    <w:rsid w:val="003A468F"/>
    <w:rsid w:val="003F3806"/>
    <w:rsid w:val="00401508"/>
    <w:rsid w:val="00411C59"/>
    <w:rsid w:val="0043313B"/>
    <w:rsid w:val="00497CBE"/>
    <w:rsid w:val="004C1EEE"/>
    <w:rsid w:val="00543C08"/>
    <w:rsid w:val="0056499E"/>
    <w:rsid w:val="00571149"/>
    <w:rsid w:val="005D071B"/>
    <w:rsid w:val="005E1B50"/>
    <w:rsid w:val="006044A3"/>
    <w:rsid w:val="00655E9D"/>
    <w:rsid w:val="00656D45"/>
    <w:rsid w:val="006942FA"/>
    <w:rsid w:val="006A249C"/>
    <w:rsid w:val="006A6B21"/>
    <w:rsid w:val="006B793F"/>
    <w:rsid w:val="0077389F"/>
    <w:rsid w:val="007A551C"/>
    <w:rsid w:val="007B0523"/>
    <w:rsid w:val="00847FC3"/>
    <w:rsid w:val="00863664"/>
    <w:rsid w:val="00864C74"/>
    <w:rsid w:val="00875D5B"/>
    <w:rsid w:val="008C0BB9"/>
    <w:rsid w:val="008C24E4"/>
    <w:rsid w:val="008D2057"/>
    <w:rsid w:val="008E4368"/>
    <w:rsid w:val="008E7BB2"/>
    <w:rsid w:val="00923AFE"/>
    <w:rsid w:val="0095101C"/>
    <w:rsid w:val="009877D2"/>
    <w:rsid w:val="00A66497"/>
    <w:rsid w:val="00AD6186"/>
    <w:rsid w:val="00AF2B86"/>
    <w:rsid w:val="00B14A3F"/>
    <w:rsid w:val="00B22D6D"/>
    <w:rsid w:val="00B24BD1"/>
    <w:rsid w:val="00B529F8"/>
    <w:rsid w:val="00B53712"/>
    <w:rsid w:val="00B90663"/>
    <w:rsid w:val="00BF1D83"/>
    <w:rsid w:val="00C22AF3"/>
    <w:rsid w:val="00C30CEE"/>
    <w:rsid w:val="00C414C5"/>
    <w:rsid w:val="00C6657A"/>
    <w:rsid w:val="00C85895"/>
    <w:rsid w:val="00CA6A9D"/>
    <w:rsid w:val="00CD0160"/>
    <w:rsid w:val="00CE68A4"/>
    <w:rsid w:val="00D543B2"/>
    <w:rsid w:val="00DA712D"/>
    <w:rsid w:val="00DB2386"/>
    <w:rsid w:val="00E0665C"/>
    <w:rsid w:val="00E132FC"/>
    <w:rsid w:val="00E230EC"/>
    <w:rsid w:val="00E51C29"/>
    <w:rsid w:val="00EA7AAA"/>
    <w:rsid w:val="00EE206B"/>
    <w:rsid w:val="00EE3694"/>
    <w:rsid w:val="00EE665B"/>
    <w:rsid w:val="00F13B24"/>
    <w:rsid w:val="00F17C21"/>
    <w:rsid w:val="00F2405F"/>
    <w:rsid w:val="00F45096"/>
    <w:rsid w:val="00F51960"/>
    <w:rsid w:val="00F76ACD"/>
    <w:rsid w:val="00F95CD6"/>
    <w:rsid w:val="00FC7EB4"/>
    <w:rsid w:val="00FD484D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BAB91"/>
  <w15:chartTrackingRefBased/>
  <w15:docId w15:val="{0887CC00-DC44-4776-96C4-A1A66050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Income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023-4550-86DC-9E3BE8F67C9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023-4550-86DC-9E3BE8F67C9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023-4550-86DC-9E3BE8F67C9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023-4550-86DC-9E3BE8F67C9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A25C6B3A-ED4A-424E-8882-D8D2205A37CB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</a:t>
                    </a:r>
                  </a:p>
                  <a:p>
                    <a:r>
                      <a:rPr lang="en-US" baseline="0"/>
                      <a:t>$763,854</a:t>
                    </a:r>
                  </a:p>
                  <a:p>
                    <a:r>
                      <a:rPr lang="en-US" baseline="0"/>
                      <a:t>20.45%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023-4550-86DC-9E3BE8F67C9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2D79B29F-3913-4E36-8C7E-B2CC87B6684E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</a:t>
                    </a:r>
                  </a:p>
                  <a:p>
                    <a:r>
                      <a:rPr lang="en-US" baseline="0"/>
                      <a:t>1,010,000   38.93%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023-4550-86DC-9E3BE8F67C91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023-4550-86DC-9E3BE8F67C9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1B9D562C-EB3C-452A-A77E-7109B7FE628A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</a:t>
                    </a:r>
                  </a:p>
                  <a:p>
                    <a:r>
                      <a:rPr lang="en-US" baseline="0"/>
                      <a:t>$816,000</a:t>
                    </a:r>
                  </a:p>
                  <a:p>
                    <a:r>
                      <a:rPr lang="en-US" baseline="0"/>
                      <a:t>31.46%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C023-4550-86DC-9E3BE8F67C91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Gross Sale of Homes </c:v>
                </c:pt>
                <c:pt idx="1">
                  <c:v>Donations</c:v>
                </c:pt>
                <c:pt idx="2">
                  <c:v>Other Income</c:v>
                </c:pt>
                <c:pt idx="3">
                  <c:v>ReStore Sales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1180000</c:v>
                </c:pt>
                <c:pt idx="1">
                  <c:v>1051400</c:v>
                </c:pt>
                <c:pt idx="2">
                  <c:v>6372</c:v>
                </c:pt>
                <c:pt idx="3">
                  <c:v>920000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023-4550-86DC-9E3BE8F67C9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Expenses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5FE-42C1-8B28-EA68D81F81A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5FE-42C1-8B28-EA68D81F81A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7FD-47CF-884A-D3F45A3E3D9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E5FE-42C1-8B28-EA68D81F81A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5FE-42C1-8B28-EA68D81F81A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7FD-47CF-884A-D3F45A3E3D9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7FD-47CF-884A-D3F45A3E3D9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E5FE-42C1-8B28-EA68D81F81A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42721D73-399F-479E-A465-45833E828BEB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</a:t>
                    </a:r>
                  </a:p>
                  <a:p>
                    <a:r>
                      <a:rPr lang="en-US" baseline="0"/>
                      <a:t>$711,700   27.44%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5FE-42C1-8B28-EA68D81F81A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7E22E843-2111-4E01-BAAE-09D56A9C6B63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</a:t>
                    </a:r>
                  </a:p>
                  <a:p>
                    <a:r>
                      <a:rPr lang="en-US" baseline="0"/>
                      <a:t>$821,700   31.68%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E5FE-42C1-8B28-EA68D81F81A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10F650A4-92FD-4812-A9D0-76555489306F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</a:t>
                    </a:r>
                  </a:p>
                  <a:p>
                    <a:r>
                      <a:rPr lang="en-US" baseline="0"/>
                      <a:t>$126,042</a:t>
                    </a:r>
                  </a:p>
                  <a:p>
                    <a:r>
                      <a:rPr lang="en-US" baseline="0"/>
                      <a:t>4.86%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7FD-47CF-884A-D3F45A3E3D94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2DADE4FA-0809-4347-8A8D-6D1715F13034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</a:t>
                    </a:r>
                  </a:p>
                  <a:p>
                    <a:r>
                      <a:rPr lang="en-US" baseline="0"/>
                      <a:t>$117,160    4.6%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3346473029045642"/>
                      <c:h val="8.0160513643659712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E5FE-42C1-8B28-EA68D81F81AF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EFAE80E1-469E-4644-841A-ACE6CD08C883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</a:t>
                    </a:r>
                  </a:p>
                  <a:p>
                    <a:r>
                      <a:rPr lang="en-US" baseline="0"/>
                      <a:t>$180,000    6.94%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5FE-42C1-8B28-EA68D81F81AF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78402EE1-E1CE-4556-AE94-DE1E27B617F6}" type="CATEGORYNAME">
                      <a:rPr lang="en-US"/>
                      <a:pPr/>
                      <a:t>[CATEGORY NAME]</a:t>
                    </a:fld>
                    <a:endParaRPr lang="en-US"/>
                  </a:p>
                  <a:p>
                    <a:r>
                      <a:rPr lang="en-US"/>
                      <a:t>$107,900   4.16%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07FD-47CF-884A-D3F45A3E3D94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70A69A66-9A71-46DE-AC40-CF64B48B7591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</a:t>
                    </a:r>
                  </a:p>
                  <a:p>
                    <a:r>
                      <a:rPr lang="en-US" baseline="0"/>
                      <a:t>$310,040   11.95%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07FD-47CF-884A-D3F45A3E3D94}"/>
                </c:ext>
              </c:extLst>
            </c:dLbl>
            <c:dLbl>
              <c:idx val="7"/>
              <c:layout>
                <c:manualLayout>
                  <c:x val="4.2531120331950202E-2"/>
                  <c:y val="1.2638869578654298E-7"/>
                </c:manualLayout>
              </c:layout>
              <c:tx>
                <c:rich>
                  <a:bodyPr/>
                  <a:lstStyle/>
                  <a:p>
                    <a:fld id="{B64EBDEA-4427-4320-8F33-D34B9B4074F7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$219,572  8.46%    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5509344267651191"/>
                      <c:h val="0.1154254875443940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E5FE-42C1-8B28-EA68D81F81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Program Payroll </c:v>
                </c:pt>
                <c:pt idx="1">
                  <c:v>Cost of Homes</c:v>
                </c:pt>
                <c:pt idx="2">
                  <c:v>Repairs Payroll</c:v>
                </c:pt>
                <c:pt idx="3">
                  <c:v>Repairs Operating Expenses</c:v>
                </c:pt>
                <c:pt idx="4">
                  <c:v>General Administrative</c:v>
                </c:pt>
                <c:pt idx="5">
                  <c:v>Development</c:v>
                </c:pt>
                <c:pt idx="6">
                  <c:v>ReStore Payroll</c:v>
                </c:pt>
                <c:pt idx="7">
                  <c:v>ReStore Operating Expenses</c:v>
                </c:pt>
              </c:strCache>
            </c:strRef>
          </c:cat>
          <c:val>
            <c:numRef>
              <c:f>Sheet1!$B$2:$B$9</c:f>
              <c:numCache>
                <c:formatCode>#,##0</c:formatCode>
                <c:ptCount val="8"/>
                <c:pt idx="0">
                  <c:v>785764</c:v>
                </c:pt>
                <c:pt idx="1">
                  <c:v>1025030</c:v>
                </c:pt>
                <c:pt idx="2">
                  <c:v>202273</c:v>
                </c:pt>
                <c:pt idx="3">
                  <c:v>197900</c:v>
                </c:pt>
                <c:pt idx="4">
                  <c:v>199930</c:v>
                </c:pt>
                <c:pt idx="5">
                  <c:v>107920</c:v>
                </c:pt>
                <c:pt idx="6">
                  <c:v>375921</c:v>
                </c:pt>
                <c:pt idx="7">
                  <c:v>239508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FE-42C1-8B28-EA68D81F81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Gellman</dc:creator>
  <cp:keywords/>
  <dc:description/>
  <cp:lastModifiedBy>Mitzi Gellman</cp:lastModifiedBy>
  <cp:revision>6</cp:revision>
  <cp:lastPrinted>2020-07-10T16:12:00Z</cp:lastPrinted>
  <dcterms:created xsi:type="dcterms:W3CDTF">2020-06-19T16:31:00Z</dcterms:created>
  <dcterms:modified xsi:type="dcterms:W3CDTF">2020-07-10T16:58:00Z</dcterms:modified>
</cp:coreProperties>
</file>